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A686E" w14:textId="77777777" w:rsidR="00617493" w:rsidRDefault="00000000">
      <w:pPr>
        <w:keepNext/>
        <w:tabs>
          <w:tab w:val="left" w:pos="567"/>
        </w:tabs>
        <w:spacing w:before="120" w:after="120"/>
        <w:ind w:left="567" w:hanging="567"/>
        <w:jc w:val="center"/>
        <w:rPr>
          <w:rFonts w:eastAsia="Times"/>
          <w:b/>
          <w:i/>
          <w:sz w:val="24"/>
        </w:rPr>
      </w:pPr>
      <w:r>
        <w:rPr>
          <w:rFonts w:eastAsia="Times"/>
          <w:b/>
          <w:i/>
          <w:sz w:val="24"/>
        </w:rPr>
        <w:t>Submission form for phytosanitary treatments</w:t>
      </w:r>
    </w:p>
    <w:p w14:paraId="0A350920" w14:textId="77777777" w:rsidR="00617493" w:rsidRDefault="00000000">
      <w:pPr>
        <w:spacing w:before="120" w:after="120"/>
        <w:jc w:val="center"/>
        <w:rPr>
          <w:i/>
          <w:sz w:val="24"/>
        </w:rPr>
      </w:pPr>
      <w:r>
        <w:rPr>
          <w:i/>
          <w:sz w:val="24"/>
        </w:rPr>
        <w:t>(Reviewed by TPPT March 2016)</w:t>
      </w:r>
    </w:p>
    <w:p w14:paraId="2FABB6D7" w14:textId="77777777" w:rsidR="00617493" w:rsidRDefault="00000000">
      <w:pPr>
        <w:tabs>
          <w:tab w:val="left" w:pos="9360"/>
        </w:tabs>
        <w:spacing w:before="600" w:after="240"/>
        <w:ind w:right="43"/>
        <w:rPr>
          <w:rFonts w:eastAsiaTheme="minorEastAsia"/>
          <w:lang w:eastAsia="zh-CN"/>
        </w:rPr>
      </w:pPr>
      <w:r>
        <w:rPr>
          <w:u w:val="single"/>
        </w:rPr>
        <w:t>Name of Country/RPPO:</w:t>
      </w:r>
      <w:r>
        <w:rPr>
          <w:rFonts w:eastAsia="宋体" w:hint="eastAsia"/>
          <w:u w:val="single"/>
          <w:lang w:val="en-US" w:eastAsia="zh-CN"/>
        </w:rPr>
        <w:t xml:space="preserve"> </w:t>
      </w:r>
      <w:r>
        <w:rPr>
          <w:rFonts w:eastAsiaTheme="minorEastAsia" w:hint="eastAsia"/>
          <w:u w:val="single"/>
          <w:lang w:eastAsia="zh-CN"/>
        </w:rPr>
        <w:t>The People</w:t>
      </w:r>
      <w:r>
        <w:rPr>
          <w:rFonts w:eastAsiaTheme="minorEastAsia"/>
          <w:u w:val="single"/>
          <w:lang w:eastAsia="zh-CN"/>
        </w:rPr>
        <w:t>’</w:t>
      </w:r>
      <w:r>
        <w:rPr>
          <w:rFonts w:eastAsiaTheme="minorEastAsia" w:hint="eastAsia"/>
          <w:u w:val="single"/>
          <w:lang w:eastAsia="zh-CN"/>
        </w:rPr>
        <w:t>s Republic of</w:t>
      </w:r>
      <w:r>
        <w:rPr>
          <w:rFonts w:eastAsiaTheme="minorEastAsia" w:hint="eastAsia"/>
          <w:u w:val="single"/>
          <w:lang w:val="en-US" w:eastAsia="zh-CN"/>
        </w:rPr>
        <w:t xml:space="preserve"> </w:t>
      </w:r>
      <w:r>
        <w:rPr>
          <w:rFonts w:eastAsiaTheme="minorEastAsia" w:hint="eastAsia"/>
          <w:u w:val="single"/>
          <w:lang w:eastAsia="zh-CN"/>
        </w:rPr>
        <w:t>China</w:t>
      </w:r>
      <w:r>
        <w:rPr>
          <w:rFonts w:eastAsiaTheme="minorEastAsia"/>
          <w:u w:val="single"/>
          <w:lang w:eastAsia="zh-CN"/>
        </w:rPr>
        <w:t xml:space="preserve"> </w:t>
      </w:r>
    </w:p>
    <w:p w14:paraId="69922201" w14:textId="77777777" w:rsidR="00617493" w:rsidRDefault="00000000">
      <w:pPr>
        <w:spacing w:after="180"/>
        <w:rPr>
          <w:rFonts w:eastAsia="Times"/>
          <w:sz w:val="18"/>
          <w:szCs w:val="18"/>
        </w:rPr>
      </w:pPr>
      <w:hyperlink r:id="rId8" w:history="1">
        <w:r>
          <w:rPr>
            <w:rFonts w:eastAsia="Times"/>
            <w:color w:val="3366FF"/>
            <w:sz w:val="18"/>
            <w:szCs w:val="18"/>
            <w:u w:val="single"/>
          </w:rPr>
          <w:t>Click here</w:t>
        </w:r>
      </w:hyperlink>
      <w:r>
        <w:rPr>
          <w:rFonts w:eastAsia="Times"/>
          <w:sz w:val="18"/>
          <w:szCs w:val="18"/>
        </w:rPr>
        <w:t xml:space="preserve"> to find the IPPC Procedure Manual for Standard Setting on the IPP (</w:t>
      </w:r>
      <w:hyperlink r:id="rId9" w:history="1">
        <w:r>
          <w:rPr>
            <w:rFonts w:eastAsia="Times"/>
            <w:color w:val="3366FF"/>
            <w:sz w:val="18"/>
            <w:szCs w:val="18"/>
            <w:u w:val="single"/>
          </w:rPr>
          <w:t>www.ippc.int</w:t>
        </w:r>
      </w:hyperlink>
      <w:r>
        <w:rPr>
          <w:rFonts w:eastAsia="Times"/>
          <w:sz w:val="18"/>
          <w:szCs w:val="18"/>
        </w:rPr>
        <w:t>), where you can download this form.</w:t>
      </w:r>
    </w:p>
    <w:p w14:paraId="262F80A4" w14:textId="77777777" w:rsidR="00617493" w:rsidRDefault="00000000">
      <w:pPr>
        <w:rPr>
          <w:b/>
          <w:u w:val="single"/>
          <w:lang w:eastAsia="ja-JP"/>
        </w:rPr>
      </w:pPr>
      <w:r>
        <w:rPr>
          <w:b/>
          <w:u w:val="single"/>
          <w:lang w:eastAsia="ja-JP"/>
        </w:rPr>
        <w:t>S</w:t>
      </w:r>
      <w:r>
        <w:rPr>
          <w:rFonts w:hint="eastAsia"/>
          <w:b/>
          <w:u w:val="single"/>
          <w:lang w:eastAsia="ja-JP"/>
        </w:rPr>
        <w:t>ubmission number</w:t>
      </w:r>
      <w:r>
        <w:rPr>
          <w:b/>
          <w:u w:val="single"/>
          <w:lang w:eastAsia="ja-JP"/>
        </w:rPr>
        <w:t xml:space="preserve"> (Secretariat Use Only): </w:t>
      </w:r>
    </w:p>
    <w:p w14:paraId="0766EC39" w14:textId="77777777" w:rsidR="00617493" w:rsidRDefault="00000000">
      <w:pPr>
        <w:spacing w:before="120" w:after="180"/>
        <w:rPr>
          <w:rFonts w:eastAsia="Times"/>
        </w:rPr>
      </w:pPr>
      <w:r>
        <w:rPr>
          <w:rFonts w:eastAsia="Times"/>
        </w:rPr>
        <w:t>Complete the following form, preferably in electronic format, and submit by e-mail to the IPPC Secretariat (</w:t>
      </w:r>
      <w:hyperlink r:id="rId10" w:history="1">
        <w:r>
          <w:rPr>
            <w:rFonts w:eastAsia="Times"/>
            <w:color w:val="3366FF"/>
            <w:u w:val="single"/>
          </w:rPr>
          <w:t>ippc@fao.org</w:t>
        </w:r>
      </w:hyperlink>
      <w:r>
        <w:rPr>
          <w:rFonts w:eastAsia="Times"/>
        </w:rPr>
        <w:t>).</w:t>
      </w:r>
    </w:p>
    <w:p w14:paraId="1280F59E" w14:textId="77777777" w:rsidR="00617493" w:rsidRDefault="00000000">
      <w:pPr>
        <w:spacing w:after="180"/>
        <w:rPr>
          <w:rFonts w:eastAsia="Times"/>
        </w:rPr>
      </w:pPr>
      <w:r>
        <w:rPr>
          <w:rFonts w:eastAsia="Times"/>
        </w:rPr>
        <w:t xml:space="preserve">Please use one form per phytosanitary treatment. An electronic version of this form is available on the International Phytosanitary Portal (IPP) at </w:t>
      </w:r>
      <w:hyperlink r:id="rId11" w:history="1">
        <w:r>
          <w:rPr>
            <w:rStyle w:val="af4"/>
            <w:rFonts w:eastAsia="Times"/>
          </w:rPr>
          <w:t>https://www.ippc.int/en/publications/1089/</w:t>
        </w:r>
      </w:hyperlink>
      <w:r>
        <w:rPr>
          <w:rFonts w:eastAsia="Times"/>
        </w:rPr>
        <w:t>. Incomplete submissions will be returned. Please save the completed submission form with the following file name: COUNTRY or RPPO NAME –Title of treatment.doc, prior to submitting to the IPPC Secretariat via e-mail.</w:t>
      </w:r>
    </w:p>
    <w:p w14:paraId="785B56A2" w14:textId="77777777" w:rsidR="00617493" w:rsidRDefault="00000000">
      <w:pPr>
        <w:spacing w:after="180"/>
        <w:rPr>
          <w:rFonts w:eastAsia="Times"/>
        </w:rPr>
      </w:pPr>
      <w:r>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8"/>
        <w:gridCol w:w="7552"/>
      </w:tblGrid>
      <w:tr w:rsidR="00617493" w14:paraId="5156268F" w14:textId="77777777">
        <w:tc>
          <w:tcPr>
            <w:tcW w:w="0" w:type="auto"/>
          </w:tcPr>
          <w:p w14:paraId="63177372" w14:textId="77777777" w:rsidR="00617493" w:rsidRDefault="00000000">
            <w:pPr>
              <w:rPr>
                <w:b/>
              </w:rPr>
            </w:pPr>
            <w:r>
              <w:rPr>
                <w:b/>
              </w:rPr>
              <w:t>Name of treatment</w:t>
            </w:r>
          </w:p>
        </w:tc>
        <w:tc>
          <w:tcPr>
            <w:tcW w:w="0" w:type="auto"/>
          </w:tcPr>
          <w:p w14:paraId="15B4BA27" w14:textId="23499425" w:rsidR="00617493" w:rsidRDefault="00000000">
            <w:pPr>
              <w:rPr>
                <w:b/>
                <w:bCs/>
                <w:color w:val="000000" w:themeColor="text1"/>
                <w:sz w:val="24"/>
              </w:rPr>
            </w:pPr>
            <w:r>
              <w:t xml:space="preserve">Combination of Modified Atmosphere and Irradiation </w:t>
            </w:r>
            <w:r>
              <w:rPr>
                <w:rFonts w:hint="eastAsia"/>
              </w:rPr>
              <w:t>T</w:t>
            </w:r>
            <w:r>
              <w:t xml:space="preserve">reatment for </w:t>
            </w:r>
            <w:r>
              <w:rPr>
                <w:i/>
                <w:iCs/>
              </w:rPr>
              <w:t>Trogoderma</w:t>
            </w:r>
            <w:r>
              <w:t xml:space="preserve"> </w:t>
            </w:r>
            <w:r>
              <w:rPr>
                <w:i/>
                <w:iCs/>
              </w:rPr>
              <w:t>granarium</w:t>
            </w:r>
          </w:p>
        </w:tc>
      </w:tr>
    </w:tbl>
    <w:p w14:paraId="71122539" w14:textId="77777777" w:rsidR="00617493" w:rsidRDefault="00617493">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356"/>
      </w:tblGrid>
      <w:tr w:rsidR="00617493" w14:paraId="41740251" w14:textId="77777777">
        <w:trPr>
          <w:jc w:val="center"/>
        </w:trPr>
        <w:tc>
          <w:tcPr>
            <w:tcW w:w="5000" w:type="pct"/>
          </w:tcPr>
          <w:p w14:paraId="677CFFF3" w14:textId="2ED7B7C3" w:rsidR="00617493" w:rsidRPr="002D4091" w:rsidRDefault="00000000" w:rsidP="002D4091">
            <w:pPr>
              <w:snapToGrid w:val="0"/>
              <w:spacing w:beforeLines="30" w:before="72" w:afterLines="20" w:after="48"/>
            </w:pPr>
            <w:r>
              <w:rPr>
                <w:b/>
                <w:u w:val="single"/>
              </w:rPr>
              <w:t>Submitted by:</w:t>
            </w:r>
            <w:r>
              <w:t xml:space="preserve">  Chinese Academy of Inspection and Quarantine</w:t>
            </w:r>
          </w:p>
        </w:tc>
      </w:tr>
      <w:tr w:rsidR="002D4091" w14:paraId="22FDF3C3" w14:textId="77777777">
        <w:trPr>
          <w:jc w:val="center"/>
        </w:trPr>
        <w:tc>
          <w:tcPr>
            <w:tcW w:w="5000" w:type="pct"/>
          </w:tcPr>
          <w:p w14:paraId="475F02DF" w14:textId="6314296B" w:rsidR="002D4091" w:rsidRDefault="002D4091" w:rsidP="002D4091">
            <w:pPr>
              <w:snapToGrid w:val="0"/>
              <w:spacing w:beforeLines="30" w:before="72" w:afterLines="20" w:after="48"/>
              <w:rPr>
                <w:b/>
                <w:u w:val="single"/>
              </w:rPr>
            </w:pPr>
            <w:sdt>
              <w:sdtPr>
                <w:rPr>
                  <w:rFonts w:eastAsia="Times"/>
                </w:rPr>
                <w:id w:val="-1777241447"/>
                <w14:checkbox>
                  <w14:checked w14:val="1"/>
                  <w14:checkedState w14:val="2612" w14:font="MS Gothic"/>
                  <w14:uncheckedState w14:val="2610" w14:font="MS Gothic"/>
                </w14:checkbox>
              </w:sdtPr>
              <w:sdtContent>
                <w:r>
                  <w:rPr>
                    <w:rFonts w:ascii="MS Gothic" w:eastAsia="MS Gothic" w:hAnsi="MS Gothic" w:hint="eastAsia"/>
                  </w:rPr>
                  <w:t>☒</w:t>
                </w:r>
              </w:sdtContent>
            </w:sdt>
            <w:r w:rsidRPr="00563090">
              <w:rPr>
                <w:rFonts w:eastAsia="Times"/>
              </w:rPr>
              <w:t xml:space="preserve"> I agree to the public release of the submission and supporting documents.</w:t>
            </w:r>
          </w:p>
        </w:tc>
      </w:tr>
      <w:tr w:rsidR="00617493" w14:paraId="14167620" w14:textId="77777777">
        <w:trPr>
          <w:jc w:val="center"/>
        </w:trPr>
        <w:tc>
          <w:tcPr>
            <w:tcW w:w="5000" w:type="pct"/>
          </w:tcPr>
          <w:p w14:paraId="1A89ACA1" w14:textId="77777777" w:rsidR="00617493" w:rsidRDefault="00000000">
            <w:r>
              <w:rPr>
                <w:b/>
                <w:u w:val="single"/>
              </w:rPr>
              <w:t>Contact:</w:t>
            </w:r>
            <w:r>
              <w:t xml:space="preserve"> (Contact information of an individual able to clarify issues relating to this submission, including sources of efficacy data)</w:t>
            </w:r>
          </w:p>
          <w:p w14:paraId="5240C540" w14:textId="77777777" w:rsidR="004571B5" w:rsidRDefault="004571B5">
            <w:pPr>
              <w:tabs>
                <w:tab w:val="right" w:leader="dot" w:pos="9500"/>
              </w:tabs>
              <w:spacing w:before="60" w:after="60"/>
              <w:rPr>
                <w:rFonts w:ascii="Arial" w:hAnsi="Arial" w:cs="Arial"/>
                <w:sz w:val="20"/>
              </w:rPr>
            </w:pPr>
          </w:p>
          <w:p w14:paraId="3CEFE8CA" w14:textId="62257685"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Name:</w:t>
            </w:r>
            <w:r w:rsidRPr="004571B5">
              <w:rPr>
                <w:rFonts w:ascii="Arial" w:hAnsi="Arial" w:cs="Arial"/>
              </w:rPr>
              <w:t xml:space="preserve"> </w:t>
            </w:r>
            <w:r w:rsidRPr="004571B5">
              <w:rPr>
                <w:rFonts w:ascii="Arial" w:eastAsiaTheme="minorEastAsia" w:hAnsi="Arial" w:cs="Arial"/>
                <w:sz w:val="20"/>
                <w:lang w:eastAsia="zh-CN"/>
              </w:rPr>
              <w:t>Qingying, ZHAO</w:t>
            </w:r>
            <w:r w:rsidRPr="004571B5">
              <w:rPr>
                <w:rFonts w:ascii="Arial" w:hAnsi="Arial" w:cs="Arial"/>
                <w:sz w:val="20"/>
              </w:rPr>
              <w:tab/>
            </w:r>
          </w:p>
          <w:p w14:paraId="5AC27322"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 xml:space="preserve">Position and organization: </w:t>
            </w:r>
            <w:r w:rsidRPr="004571B5">
              <w:rPr>
                <w:rFonts w:ascii="Arial" w:eastAsiaTheme="minorEastAsia" w:hAnsi="Arial" w:cs="Arial"/>
                <w:sz w:val="20"/>
                <w:lang w:eastAsia="zh-CN"/>
              </w:rPr>
              <w:t>PhD student (Murdoch University), Chinese Academy of Inspection and Quarantine</w:t>
            </w:r>
            <w:r w:rsidRPr="004571B5">
              <w:rPr>
                <w:rFonts w:ascii="Arial" w:hAnsi="Arial" w:cs="Arial"/>
                <w:sz w:val="20"/>
              </w:rPr>
              <w:tab/>
            </w:r>
          </w:p>
          <w:p w14:paraId="70C7D2D0"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Mailing address:</w:t>
            </w:r>
            <w:r w:rsidRPr="004571B5">
              <w:rPr>
                <w:rFonts w:ascii="Arial" w:hAnsi="Arial" w:cs="Arial"/>
              </w:rPr>
              <w:t xml:space="preserve"> </w:t>
            </w:r>
            <w:r w:rsidRPr="004571B5">
              <w:rPr>
                <w:rFonts w:ascii="Arial" w:eastAsiaTheme="minorEastAsia" w:hAnsi="Arial" w:cs="Arial"/>
                <w:sz w:val="20"/>
                <w:lang w:eastAsia="zh-CN"/>
              </w:rPr>
              <w:t>No. A3, Gaobeidian Bei Lu, Chaoyang District, Beijing 100123, China</w:t>
            </w:r>
            <w:r w:rsidRPr="004571B5">
              <w:rPr>
                <w:rFonts w:ascii="Arial" w:hAnsi="Arial" w:cs="Arial"/>
                <w:sz w:val="20"/>
              </w:rPr>
              <w:tab/>
            </w:r>
          </w:p>
          <w:p w14:paraId="3CEF723E" w14:textId="77777777" w:rsidR="00617493" w:rsidRPr="004571B5" w:rsidRDefault="00000000">
            <w:pPr>
              <w:tabs>
                <w:tab w:val="right" w:leader="dot" w:pos="4500"/>
                <w:tab w:val="left" w:pos="4800"/>
                <w:tab w:val="right" w:leader="dot" w:pos="9500"/>
              </w:tabs>
              <w:spacing w:before="60" w:after="60"/>
              <w:rPr>
                <w:rFonts w:ascii="Arial" w:hAnsi="Arial" w:cs="Arial"/>
                <w:sz w:val="20"/>
              </w:rPr>
            </w:pPr>
            <w:r w:rsidRPr="004571B5">
              <w:rPr>
                <w:rFonts w:ascii="Arial" w:hAnsi="Arial" w:cs="Arial"/>
                <w:sz w:val="20"/>
              </w:rPr>
              <w:t>Phone:</w:t>
            </w:r>
            <w:r w:rsidRPr="004571B5">
              <w:rPr>
                <w:rFonts w:ascii="Arial" w:hAnsi="Arial" w:cs="Arial"/>
              </w:rPr>
              <w:t xml:space="preserve"> </w:t>
            </w:r>
            <w:r w:rsidRPr="004571B5">
              <w:rPr>
                <w:rFonts w:ascii="Arial" w:eastAsiaTheme="minorEastAsia" w:hAnsi="Arial" w:cs="Arial"/>
                <w:sz w:val="20"/>
                <w:lang w:eastAsia="zh-CN"/>
              </w:rPr>
              <w:t>+86 13472252936</w:t>
            </w:r>
            <w:r w:rsidRPr="004571B5">
              <w:rPr>
                <w:rFonts w:ascii="Arial" w:hAnsi="Arial" w:cs="Arial"/>
                <w:sz w:val="20"/>
              </w:rPr>
              <w:tab/>
            </w:r>
            <w:r w:rsidRPr="004571B5">
              <w:rPr>
                <w:rFonts w:ascii="Arial" w:hAnsi="Arial" w:cs="Arial"/>
                <w:sz w:val="20"/>
              </w:rPr>
              <w:tab/>
              <w:t>Fax:</w:t>
            </w:r>
            <w:r w:rsidRPr="004571B5">
              <w:rPr>
                <w:rFonts w:ascii="Arial" w:hAnsi="Arial" w:cs="Arial"/>
                <w:sz w:val="20"/>
              </w:rPr>
              <w:tab/>
            </w:r>
          </w:p>
          <w:p w14:paraId="48FE97F4" w14:textId="77777777" w:rsidR="00617493" w:rsidRPr="004571B5" w:rsidRDefault="00000000">
            <w:pPr>
              <w:tabs>
                <w:tab w:val="right" w:leader="dot" w:pos="9525"/>
              </w:tabs>
              <w:rPr>
                <w:rFonts w:ascii="Arial" w:hAnsi="Arial" w:cs="Arial"/>
                <w:sz w:val="20"/>
              </w:rPr>
            </w:pPr>
            <w:r w:rsidRPr="004571B5">
              <w:rPr>
                <w:rFonts w:ascii="Arial" w:hAnsi="Arial" w:cs="Arial"/>
                <w:sz w:val="20"/>
              </w:rPr>
              <w:t xml:space="preserve">E-mail: </w:t>
            </w:r>
            <w:r w:rsidRPr="004571B5">
              <w:rPr>
                <w:rFonts w:ascii="Arial" w:eastAsiaTheme="minorEastAsia" w:hAnsi="Arial" w:cs="Arial"/>
                <w:sz w:val="20"/>
                <w:lang w:eastAsia="zh-CN"/>
              </w:rPr>
              <w:t>zhaoqy2021@126.com</w:t>
            </w:r>
            <w:r w:rsidRPr="004571B5">
              <w:rPr>
                <w:rFonts w:ascii="Arial" w:hAnsi="Arial" w:cs="Arial"/>
                <w:sz w:val="20"/>
              </w:rPr>
              <w:tab/>
            </w:r>
          </w:p>
          <w:p w14:paraId="4064EEE6" w14:textId="77777777" w:rsidR="00617493" w:rsidRPr="004571B5" w:rsidRDefault="00000000">
            <w:pPr>
              <w:tabs>
                <w:tab w:val="right" w:leader="dot" w:pos="9500"/>
              </w:tabs>
              <w:spacing w:before="60" w:after="60"/>
              <w:rPr>
                <w:rFonts w:ascii="Arial" w:eastAsiaTheme="minorEastAsia" w:hAnsi="Arial" w:cs="Arial"/>
                <w:sz w:val="20"/>
                <w:lang w:eastAsia="zh-CN"/>
              </w:rPr>
            </w:pPr>
            <w:r w:rsidRPr="004571B5">
              <w:rPr>
                <w:rFonts w:ascii="Arial" w:eastAsiaTheme="minorEastAsia" w:hAnsi="Arial" w:cs="Arial"/>
                <w:sz w:val="20"/>
                <w:lang w:eastAsia="zh-CN"/>
              </w:rPr>
              <w:t>-and-</w:t>
            </w:r>
          </w:p>
          <w:p w14:paraId="7B2DC55E"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Name: Name:</w:t>
            </w:r>
            <w:r w:rsidRPr="004571B5">
              <w:rPr>
                <w:rFonts w:ascii="Arial" w:eastAsiaTheme="minorEastAsia" w:hAnsi="Arial" w:cs="Arial"/>
                <w:sz w:val="20"/>
                <w:lang w:eastAsia="zh-CN"/>
              </w:rPr>
              <w:t xml:space="preserve"> Tingting, DENG</w:t>
            </w:r>
            <w:r w:rsidRPr="004571B5">
              <w:rPr>
                <w:rFonts w:ascii="Arial" w:hAnsi="Arial" w:cs="Arial"/>
                <w:sz w:val="20"/>
              </w:rPr>
              <w:tab/>
            </w:r>
          </w:p>
          <w:p w14:paraId="25F9A2DB" w14:textId="77777777" w:rsidR="00617493" w:rsidRPr="004571B5" w:rsidRDefault="00000000">
            <w:pPr>
              <w:tabs>
                <w:tab w:val="right" w:leader="dot" w:pos="9500"/>
              </w:tabs>
              <w:spacing w:before="60" w:after="60"/>
              <w:rPr>
                <w:rFonts w:ascii="Arial" w:eastAsiaTheme="minorEastAsia" w:hAnsi="Arial" w:cs="Arial"/>
                <w:sz w:val="20"/>
                <w:lang w:eastAsia="zh-CN"/>
              </w:rPr>
            </w:pPr>
            <w:r w:rsidRPr="004571B5">
              <w:rPr>
                <w:rFonts w:ascii="Arial" w:hAnsi="Arial" w:cs="Arial"/>
                <w:sz w:val="20"/>
              </w:rPr>
              <w:t>Position and organization:</w:t>
            </w:r>
            <w:r w:rsidRPr="004571B5">
              <w:rPr>
                <w:rFonts w:ascii="Arial" w:eastAsiaTheme="minorEastAsia" w:hAnsi="Arial" w:cs="Arial"/>
                <w:sz w:val="20"/>
                <w:lang w:eastAsia="zh-CN"/>
              </w:rPr>
              <w:t xml:space="preserve"> Professor, Chinese Academy of Inspection and Quarantine</w:t>
            </w:r>
            <w:r w:rsidRPr="004571B5">
              <w:rPr>
                <w:rFonts w:ascii="Arial" w:hAnsi="Arial" w:cs="Arial"/>
                <w:sz w:val="20"/>
              </w:rPr>
              <w:t xml:space="preserve"> </w:t>
            </w:r>
          </w:p>
          <w:p w14:paraId="74E98133"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Mailing address:</w:t>
            </w:r>
            <w:r w:rsidRPr="004571B5">
              <w:rPr>
                <w:rFonts w:ascii="Arial" w:hAnsi="Arial" w:cs="Arial"/>
              </w:rPr>
              <w:t xml:space="preserve"> </w:t>
            </w:r>
            <w:r w:rsidRPr="004571B5">
              <w:rPr>
                <w:rFonts w:ascii="Arial" w:hAnsi="Arial" w:cs="Arial"/>
                <w:sz w:val="20"/>
              </w:rPr>
              <w:t>No. 11, Ronghua Nan Lu, Yizhuang Economic and Technological Development Zone, Beijing 100176, China.</w:t>
            </w:r>
          </w:p>
          <w:p w14:paraId="3D0E72F8" w14:textId="77777777" w:rsidR="00617493" w:rsidRPr="004571B5" w:rsidRDefault="00000000">
            <w:pPr>
              <w:tabs>
                <w:tab w:val="right" w:leader="dot" w:pos="4500"/>
                <w:tab w:val="left" w:pos="4800"/>
                <w:tab w:val="right" w:leader="dot" w:pos="9500"/>
              </w:tabs>
              <w:spacing w:before="60" w:after="60"/>
              <w:rPr>
                <w:rFonts w:ascii="Arial" w:hAnsi="Arial" w:cs="Arial"/>
                <w:sz w:val="20"/>
              </w:rPr>
            </w:pPr>
            <w:r w:rsidRPr="004571B5">
              <w:rPr>
                <w:rFonts w:ascii="Arial" w:hAnsi="Arial" w:cs="Arial"/>
                <w:sz w:val="20"/>
              </w:rPr>
              <w:t>Phone:</w:t>
            </w:r>
            <w:r w:rsidRPr="004571B5">
              <w:rPr>
                <w:rFonts w:ascii="Arial" w:eastAsiaTheme="minorEastAsia" w:hAnsi="Arial" w:cs="Arial"/>
                <w:sz w:val="20"/>
                <w:lang w:eastAsia="zh-CN"/>
              </w:rPr>
              <w:t xml:space="preserve"> +86 13716594384</w:t>
            </w:r>
            <w:r w:rsidRPr="004571B5">
              <w:rPr>
                <w:rFonts w:ascii="Arial" w:hAnsi="Arial" w:cs="Arial"/>
                <w:sz w:val="20"/>
              </w:rPr>
              <w:tab/>
            </w:r>
            <w:r w:rsidRPr="004571B5">
              <w:rPr>
                <w:rFonts w:ascii="Arial" w:hAnsi="Arial" w:cs="Arial"/>
                <w:sz w:val="20"/>
              </w:rPr>
              <w:tab/>
              <w:t>Fax:</w:t>
            </w:r>
            <w:r w:rsidRPr="004571B5">
              <w:rPr>
                <w:rFonts w:ascii="Arial" w:hAnsi="Arial" w:cs="Arial"/>
                <w:sz w:val="20"/>
              </w:rPr>
              <w:tab/>
            </w:r>
          </w:p>
          <w:p w14:paraId="6E5D6E3B" w14:textId="77777777" w:rsidR="00617493" w:rsidRPr="004571B5" w:rsidRDefault="00000000">
            <w:pPr>
              <w:tabs>
                <w:tab w:val="right" w:leader="dot" w:pos="9500"/>
              </w:tabs>
              <w:spacing w:before="60" w:after="60"/>
              <w:rPr>
                <w:rFonts w:ascii="Arial" w:eastAsiaTheme="minorEastAsia" w:hAnsi="Arial" w:cs="Arial"/>
                <w:sz w:val="20"/>
                <w:lang w:eastAsia="zh-CN"/>
              </w:rPr>
            </w:pPr>
            <w:r w:rsidRPr="004571B5">
              <w:rPr>
                <w:rFonts w:ascii="Arial" w:hAnsi="Arial" w:cs="Arial"/>
                <w:sz w:val="20"/>
              </w:rPr>
              <w:t>E-mail:</w:t>
            </w:r>
            <w:r w:rsidRPr="004571B5">
              <w:rPr>
                <w:rFonts w:ascii="Arial" w:eastAsiaTheme="minorEastAsia" w:hAnsi="Arial" w:cs="Arial"/>
                <w:sz w:val="20"/>
                <w:lang w:eastAsia="zh-CN"/>
              </w:rPr>
              <w:t xml:space="preserve"> angellove0405@163.com</w:t>
            </w:r>
            <w:r w:rsidRPr="004571B5">
              <w:rPr>
                <w:rFonts w:ascii="Arial" w:hAnsi="Arial" w:cs="Arial"/>
                <w:sz w:val="20"/>
              </w:rPr>
              <w:tab/>
            </w:r>
          </w:p>
          <w:p w14:paraId="60C3F83D" w14:textId="77777777" w:rsidR="00617493" w:rsidRPr="004571B5" w:rsidRDefault="00000000">
            <w:pPr>
              <w:tabs>
                <w:tab w:val="right" w:leader="dot" w:pos="9500"/>
              </w:tabs>
              <w:spacing w:before="60" w:after="60"/>
              <w:rPr>
                <w:rFonts w:ascii="Arial" w:eastAsiaTheme="minorEastAsia" w:hAnsi="Arial" w:cs="Arial"/>
                <w:sz w:val="20"/>
                <w:lang w:eastAsia="zh-CN"/>
              </w:rPr>
            </w:pPr>
            <w:r w:rsidRPr="004571B5">
              <w:rPr>
                <w:rFonts w:ascii="Arial" w:eastAsiaTheme="minorEastAsia" w:hAnsi="Arial" w:cs="Arial"/>
                <w:sz w:val="20"/>
                <w:lang w:eastAsia="zh-CN"/>
              </w:rPr>
              <w:t>-and-</w:t>
            </w:r>
          </w:p>
          <w:p w14:paraId="591719D2"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Name: Name:</w:t>
            </w:r>
            <w:r w:rsidRPr="004571B5">
              <w:rPr>
                <w:rFonts w:ascii="Arial" w:eastAsiaTheme="minorEastAsia" w:hAnsi="Arial" w:cs="Arial"/>
                <w:sz w:val="20"/>
                <w:lang w:eastAsia="zh-CN"/>
              </w:rPr>
              <w:t xml:space="preserve"> Guoping, ZHAN</w:t>
            </w:r>
            <w:r w:rsidRPr="004571B5">
              <w:rPr>
                <w:rFonts w:ascii="Arial" w:hAnsi="Arial" w:cs="Arial"/>
                <w:sz w:val="20"/>
              </w:rPr>
              <w:tab/>
            </w:r>
          </w:p>
          <w:p w14:paraId="66466913" w14:textId="77777777" w:rsidR="00617493" w:rsidRPr="004571B5" w:rsidRDefault="00000000">
            <w:pPr>
              <w:tabs>
                <w:tab w:val="right" w:leader="dot" w:pos="9500"/>
              </w:tabs>
              <w:spacing w:before="60" w:after="60"/>
              <w:rPr>
                <w:rFonts w:ascii="Arial" w:eastAsiaTheme="minorEastAsia" w:hAnsi="Arial" w:cs="Arial"/>
                <w:sz w:val="20"/>
                <w:lang w:eastAsia="zh-CN"/>
              </w:rPr>
            </w:pPr>
            <w:r w:rsidRPr="004571B5">
              <w:rPr>
                <w:rFonts w:ascii="Arial" w:hAnsi="Arial" w:cs="Arial"/>
                <w:sz w:val="20"/>
              </w:rPr>
              <w:t>Position and organization:</w:t>
            </w:r>
            <w:r w:rsidRPr="004571B5">
              <w:rPr>
                <w:rFonts w:ascii="Arial" w:eastAsiaTheme="minorEastAsia" w:hAnsi="Arial" w:cs="Arial"/>
                <w:sz w:val="20"/>
                <w:lang w:eastAsia="zh-CN"/>
              </w:rPr>
              <w:t xml:space="preserve"> Professor, Chinese Academy of Inspection and Quarantine</w:t>
            </w:r>
            <w:r w:rsidRPr="004571B5">
              <w:rPr>
                <w:rFonts w:ascii="Arial" w:hAnsi="Arial" w:cs="Arial"/>
                <w:sz w:val="20"/>
              </w:rPr>
              <w:t xml:space="preserve"> </w:t>
            </w:r>
          </w:p>
          <w:p w14:paraId="3639EB4C" w14:textId="77777777" w:rsidR="00617493" w:rsidRPr="004571B5" w:rsidRDefault="00000000">
            <w:pPr>
              <w:tabs>
                <w:tab w:val="right" w:leader="dot" w:pos="9500"/>
              </w:tabs>
              <w:spacing w:before="60" w:after="60"/>
              <w:rPr>
                <w:rFonts w:ascii="Arial" w:hAnsi="Arial" w:cs="Arial"/>
                <w:sz w:val="20"/>
              </w:rPr>
            </w:pPr>
            <w:r w:rsidRPr="004571B5">
              <w:rPr>
                <w:rFonts w:ascii="Arial" w:hAnsi="Arial" w:cs="Arial"/>
                <w:sz w:val="20"/>
              </w:rPr>
              <w:t>Mailing address:</w:t>
            </w:r>
            <w:r w:rsidRPr="004571B5">
              <w:rPr>
                <w:rFonts w:ascii="Arial" w:hAnsi="Arial" w:cs="Arial"/>
              </w:rPr>
              <w:t xml:space="preserve"> </w:t>
            </w:r>
            <w:r w:rsidRPr="004571B5">
              <w:rPr>
                <w:rFonts w:ascii="Arial" w:hAnsi="Arial" w:cs="Arial"/>
                <w:sz w:val="20"/>
              </w:rPr>
              <w:t>No. A3, Gaobeidian Bei Lu, Chaoyang District, Beijing 100123, China.</w:t>
            </w:r>
          </w:p>
          <w:p w14:paraId="6704A3F0" w14:textId="77777777" w:rsidR="00617493" w:rsidRPr="004571B5" w:rsidRDefault="00000000">
            <w:pPr>
              <w:tabs>
                <w:tab w:val="right" w:leader="dot" w:pos="4500"/>
                <w:tab w:val="left" w:pos="4800"/>
                <w:tab w:val="right" w:leader="dot" w:pos="9500"/>
              </w:tabs>
              <w:spacing w:before="60" w:after="60"/>
              <w:rPr>
                <w:rFonts w:ascii="Arial" w:hAnsi="Arial" w:cs="Arial"/>
                <w:sz w:val="20"/>
              </w:rPr>
            </w:pPr>
            <w:r w:rsidRPr="004571B5">
              <w:rPr>
                <w:rFonts w:ascii="Arial" w:hAnsi="Arial" w:cs="Arial"/>
                <w:sz w:val="20"/>
              </w:rPr>
              <w:t>Phone:</w:t>
            </w:r>
            <w:r w:rsidRPr="004571B5">
              <w:rPr>
                <w:rFonts w:ascii="Arial" w:eastAsiaTheme="minorEastAsia" w:hAnsi="Arial" w:cs="Arial"/>
                <w:sz w:val="20"/>
                <w:lang w:eastAsia="zh-CN"/>
              </w:rPr>
              <w:t xml:space="preserve"> +86 13611192153</w:t>
            </w:r>
            <w:r w:rsidRPr="004571B5">
              <w:rPr>
                <w:rFonts w:ascii="Arial" w:hAnsi="Arial" w:cs="Arial"/>
                <w:sz w:val="20"/>
              </w:rPr>
              <w:tab/>
            </w:r>
            <w:r w:rsidRPr="004571B5">
              <w:rPr>
                <w:rFonts w:ascii="Arial" w:hAnsi="Arial" w:cs="Arial"/>
                <w:sz w:val="20"/>
              </w:rPr>
              <w:tab/>
              <w:t>Fax:</w:t>
            </w:r>
            <w:r w:rsidRPr="004571B5">
              <w:rPr>
                <w:rFonts w:ascii="Arial" w:eastAsiaTheme="minorEastAsia" w:hAnsi="Arial" w:cs="Arial"/>
                <w:sz w:val="20"/>
                <w:lang w:eastAsia="zh-CN"/>
              </w:rPr>
              <w:t xml:space="preserve"> +86 10 8539 3944</w:t>
            </w:r>
            <w:r w:rsidRPr="004571B5">
              <w:rPr>
                <w:rFonts w:ascii="Arial" w:hAnsi="Arial" w:cs="Arial"/>
                <w:sz w:val="20"/>
              </w:rPr>
              <w:tab/>
            </w:r>
          </w:p>
          <w:p w14:paraId="2C42A73C" w14:textId="37B59928" w:rsidR="00617493" w:rsidRDefault="00000000">
            <w:pPr>
              <w:tabs>
                <w:tab w:val="right" w:leader="dot" w:pos="9525"/>
              </w:tabs>
              <w:rPr>
                <w:sz w:val="20"/>
              </w:rPr>
            </w:pPr>
            <w:r w:rsidRPr="004571B5">
              <w:rPr>
                <w:rFonts w:ascii="Arial" w:hAnsi="Arial" w:cs="Arial"/>
                <w:sz w:val="20"/>
              </w:rPr>
              <w:t>E-mail:</w:t>
            </w:r>
            <w:r w:rsidRPr="004571B5">
              <w:rPr>
                <w:rFonts w:ascii="Arial" w:eastAsiaTheme="minorEastAsia" w:hAnsi="Arial" w:cs="Arial"/>
                <w:sz w:val="20"/>
                <w:lang w:eastAsia="zh-CN"/>
              </w:rPr>
              <w:t xml:space="preserve"> zhgp136@126.com; zhangp@caiq.org.cn</w:t>
            </w:r>
            <w:r w:rsidRPr="004571B5">
              <w:rPr>
                <w:rFonts w:ascii="Arial" w:hAnsi="Arial" w:cs="Arial"/>
                <w:sz w:val="20"/>
              </w:rPr>
              <w:tab/>
            </w:r>
          </w:p>
        </w:tc>
      </w:tr>
    </w:tbl>
    <w:p w14:paraId="3CBE6E7C" w14:textId="77777777" w:rsidR="00617493" w:rsidRDefault="00617493"/>
    <w:p w14:paraId="70A1621C" w14:textId="77777777" w:rsidR="00617493" w:rsidRDefault="00000000">
      <w:pPr>
        <w:outlineLvl w:val="0"/>
        <w:rPr>
          <w:b/>
        </w:rPr>
      </w:pPr>
      <w:bookmarkStart w:id="0" w:name="_Toc340155524"/>
      <w:bookmarkStart w:id="1" w:name="_Toc340155614"/>
      <w:bookmarkStart w:id="2" w:name="_Toc463359120"/>
      <w:bookmarkStart w:id="3" w:name="_Toc462060133"/>
      <w:bookmarkStart w:id="4" w:name="_Toc463019488"/>
      <w:bookmarkStart w:id="5" w:name="_Toc462308608"/>
      <w:bookmarkStart w:id="6" w:name="_Toc340135142"/>
      <w:r>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55"/>
        <w:gridCol w:w="7795"/>
      </w:tblGrid>
      <w:tr w:rsidR="00617493" w14:paraId="7139D479" w14:textId="77777777">
        <w:trPr>
          <w:jc w:val="center"/>
        </w:trPr>
        <w:tc>
          <w:tcPr>
            <w:tcW w:w="1555" w:type="dxa"/>
          </w:tcPr>
          <w:p w14:paraId="7A3DCEEB"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Active ingredient</w:t>
            </w:r>
          </w:p>
        </w:tc>
        <w:tc>
          <w:tcPr>
            <w:tcW w:w="7795" w:type="dxa"/>
          </w:tcPr>
          <w:p w14:paraId="30380C3A"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lang w:val="en-US"/>
              </w:rPr>
              <w:t>NA</w:t>
            </w:r>
          </w:p>
        </w:tc>
      </w:tr>
      <w:tr w:rsidR="00617493" w14:paraId="5B6AB445" w14:textId="77777777">
        <w:trPr>
          <w:jc w:val="center"/>
        </w:trPr>
        <w:tc>
          <w:tcPr>
            <w:tcW w:w="1555" w:type="dxa"/>
          </w:tcPr>
          <w:p w14:paraId="52992A21"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Treatment type</w:t>
            </w:r>
          </w:p>
        </w:tc>
        <w:tc>
          <w:tcPr>
            <w:tcW w:w="7795" w:type="dxa"/>
          </w:tcPr>
          <w:p w14:paraId="58F21DB6"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Combination of Modified Atmosphere and Irradiation treatment</w:t>
            </w:r>
          </w:p>
        </w:tc>
      </w:tr>
      <w:tr w:rsidR="00617493" w14:paraId="23343F01" w14:textId="77777777">
        <w:trPr>
          <w:jc w:val="center"/>
        </w:trPr>
        <w:tc>
          <w:tcPr>
            <w:tcW w:w="1555" w:type="dxa"/>
          </w:tcPr>
          <w:p w14:paraId="27929D26"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Target pest</w:t>
            </w:r>
          </w:p>
        </w:tc>
        <w:tc>
          <w:tcPr>
            <w:tcW w:w="7795" w:type="dxa"/>
          </w:tcPr>
          <w:p w14:paraId="3EA38BBA" w14:textId="77777777" w:rsidR="00617493" w:rsidRDefault="00000000">
            <w:pPr>
              <w:spacing w:before="60" w:after="60"/>
              <w:rPr>
                <w:rFonts w:ascii="Arial" w:hAnsi="Arial" w:cs="Arial"/>
                <w:color w:val="000000" w:themeColor="text1"/>
                <w:sz w:val="18"/>
                <w:szCs w:val="18"/>
              </w:rPr>
            </w:pPr>
            <w:r>
              <w:rPr>
                <w:rFonts w:ascii="Arial" w:hAnsi="Arial" w:cs="Arial"/>
                <w:i/>
                <w:iCs/>
                <w:color w:val="000000" w:themeColor="text1"/>
                <w:sz w:val="18"/>
                <w:szCs w:val="18"/>
              </w:rPr>
              <w:t>Trogoderma granarium</w:t>
            </w:r>
            <w:r>
              <w:rPr>
                <w:rFonts w:ascii="Arial" w:hAnsi="Arial" w:cs="Arial"/>
                <w:color w:val="000000" w:themeColor="text1"/>
                <w:sz w:val="18"/>
                <w:szCs w:val="18"/>
              </w:rPr>
              <w:t xml:space="preserve"> Everts</w:t>
            </w:r>
            <w:r>
              <w:rPr>
                <w:rFonts w:ascii="Arial" w:eastAsiaTheme="minorEastAsia" w:hAnsi="Arial" w:cs="Arial"/>
                <w:color w:val="000000" w:themeColor="text1"/>
                <w:sz w:val="18"/>
                <w:szCs w:val="18"/>
                <w:lang w:eastAsia="zh-CN"/>
              </w:rPr>
              <w:t xml:space="preserve"> </w:t>
            </w:r>
            <w:r>
              <w:rPr>
                <w:rFonts w:ascii="Arial" w:hAnsi="Arial" w:cs="Arial"/>
                <w:color w:val="000000" w:themeColor="text1"/>
                <w:sz w:val="18"/>
                <w:szCs w:val="18"/>
              </w:rPr>
              <w:t>(Coleoptera: Dermestidae)</w:t>
            </w:r>
          </w:p>
        </w:tc>
      </w:tr>
      <w:tr w:rsidR="00617493" w14:paraId="5F0AEF7E" w14:textId="77777777">
        <w:trPr>
          <w:jc w:val="center"/>
        </w:trPr>
        <w:tc>
          <w:tcPr>
            <w:tcW w:w="1555" w:type="dxa"/>
          </w:tcPr>
          <w:p w14:paraId="2661DA70"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Target regulated articles</w:t>
            </w:r>
          </w:p>
        </w:tc>
        <w:tc>
          <w:tcPr>
            <w:tcW w:w="7795" w:type="dxa"/>
          </w:tcPr>
          <w:p w14:paraId="1305C2B2"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 xml:space="preserve">All grains and dried fruits that are hosts of </w:t>
            </w:r>
            <w:r>
              <w:rPr>
                <w:rFonts w:ascii="Arial" w:eastAsia="Times" w:hAnsi="Arial"/>
                <w:i/>
                <w:iCs/>
                <w:color w:val="000000" w:themeColor="text1"/>
                <w:sz w:val="18"/>
              </w:rPr>
              <w:t>Trogoderma granarium</w:t>
            </w:r>
            <w:r>
              <w:rPr>
                <w:rFonts w:ascii="Arial" w:eastAsia="Times" w:hAnsi="Arial"/>
                <w:color w:val="000000" w:themeColor="text1"/>
                <w:sz w:val="18"/>
              </w:rPr>
              <w:t>.</w:t>
            </w:r>
          </w:p>
        </w:tc>
      </w:tr>
      <w:tr w:rsidR="00617493" w14:paraId="4FED81C8" w14:textId="77777777">
        <w:trPr>
          <w:jc w:val="center"/>
        </w:trPr>
        <w:tc>
          <w:tcPr>
            <w:tcW w:w="1555" w:type="dxa"/>
          </w:tcPr>
          <w:p w14:paraId="4192A3E4"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Treatment schedule</w:t>
            </w:r>
          </w:p>
        </w:tc>
        <w:tc>
          <w:tcPr>
            <w:tcW w:w="7795" w:type="dxa"/>
          </w:tcPr>
          <w:p w14:paraId="31A649FB"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A minimum exposure time of 15-d treatment under the maximum concentration of 1% O</w:t>
            </w:r>
            <w:r>
              <w:rPr>
                <w:rFonts w:ascii="Arial" w:eastAsia="Times" w:hAnsi="Arial"/>
                <w:color w:val="000000" w:themeColor="text1"/>
                <w:sz w:val="18"/>
                <w:vertAlign w:val="subscript"/>
              </w:rPr>
              <w:t>2</w:t>
            </w:r>
            <w:r>
              <w:rPr>
                <w:rFonts w:ascii="Arial" w:eastAsia="Times" w:hAnsi="Arial"/>
                <w:color w:val="000000" w:themeColor="text1"/>
                <w:sz w:val="18"/>
              </w:rPr>
              <w:t xml:space="preserve"> (with N</w:t>
            </w:r>
            <w:r>
              <w:rPr>
                <w:rFonts w:ascii="Arial" w:eastAsia="Times" w:hAnsi="Arial"/>
                <w:color w:val="000000" w:themeColor="text1"/>
                <w:sz w:val="18"/>
                <w:vertAlign w:val="subscript"/>
              </w:rPr>
              <w:t>2</w:t>
            </w:r>
            <w:r>
              <w:rPr>
                <w:rFonts w:ascii="Arial" w:eastAsia="Times" w:hAnsi="Arial"/>
                <w:color w:val="000000" w:themeColor="text1"/>
                <w:sz w:val="18"/>
              </w:rPr>
              <w:t xml:space="preserve"> balance) atmosphere after irradiation at the minimum absorbed dose of 200 Gy.</w:t>
            </w:r>
          </w:p>
          <w:p w14:paraId="5370E817"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 xml:space="preserve">There is 95% confidence that the treatment according to this schedule kills not less than 99.9973% of all stages of </w:t>
            </w:r>
            <w:r>
              <w:rPr>
                <w:rFonts w:ascii="Arial" w:eastAsia="Times" w:hAnsi="Arial"/>
                <w:i/>
                <w:iCs/>
                <w:color w:val="000000" w:themeColor="text1"/>
                <w:sz w:val="18"/>
              </w:rPr>
              <w:t>Trogoderma granarium</w:t>
            </w:r>
            <w:r>
              <w:rPr>
                <w:rFonts w:ascii="Arial" w:eastAsia="Times" w:hAnsi="Arial"/>
                <w:color w:val="000000" w:themeColor="text1"/>
                <w:sz w:val="18"/>
              </w:rPr>
              <w:t>.</w:t>
            </w:r>
          </w:p>
          <w:p w14:paraId="2D84A641"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This treatment should be applied in accordance with the requirements of ISPM 18 (</w:t>
            </w:r>
            <w:r>
              <w:rPr>
                <w:rFonts w:ascii="Arial" w:eastAsia="Times" w:hAnsi="Arial"/>
                <w:i/>
                <w:iCs/>
                <w:color w:val="000000" w:themeColor="text1"/>
                <w:sz w:val="18"/>
              </w:rPr>
              <w:t>Requirements for the use of irradiation as a phytosanitary measure</w:t>
            </w:r>
            <w:r>
              <w:rPr>
                <w:rFonts w:ascii="Arial" w:eastAsia="Times" w:hAnsi="Arial"/>
                <w:color w:val="000000" w:themeColor="text1"/>
                <w:sz w:val="18"/>
              </w:rPr>
              <w:t>) and ISPM 44 (</w:t>
            </w:r>
            <w:r>
              <w:rPr>
                <w:rFonts w:ascii="Arial" w:eastAsia="Times" w:hAnsi="Arial"/>
                <w:i/>
                <w:iCs/>
                <w:color w:val="000000" w:themeColor="text1"/>
                <w:sz w:val="18"/>
              </w:rPr>
              <w:t>Requirements for the use of modified atmosphere treatments as a phytosanitary measure</w:t>
            </w:r>
            <w:r>
              <w:rPr>
                <w:rFonts w:ascii="Arial" w:eastAsia="Times" w:hAnsi="Arial"/>
                <w:color w:val="000000" w:themeColor="text1"/>
                <w:sz w:val="18"/>
              </w:rPr>
              <w:t>).</w:t>
            </w:r>
          </w:p>
          <w:p w14:paraId="54EAD4AB"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This irradiation treatment should not be applied to commodity (grains, fruits, ect.) stored in modified atmospheres because modified atmosphere may affect the treatment efficacy.</w:t>
            </w:r>
          </w:p>
        </w:tc>
      </w:tr>
      <w:tr w:rsidR="00617493" w14:paraId="0AB1065B" w14:textId="77777777">
        <w:trPr>
          <w:jc w:val="center"/>
        </w:trPr>
        <w:tc>
          <w:tcPr>
            <w:tcW w:w="1555" w:type="dxa"/>
          </w:tcPr>
          <w:p w14:paraId="6598B171"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Other relevant information</w:t>
            </w:r>
          </w:p>
        </w:tc>
        <w:tc>
          <w:tcPr>
            <w:tcW w:w="7795" w:type="dxa"/>
          </w:tcPr>
          <w:p w14:paraId="2DDC2973"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A minimum radiation dose of 200 Gy irradiation prevents reproduction (failure of F1 egg-hatch)</w:t>
            </w:r>
          </w:p>
          <w:p w14:paraId="722EDBBE" w14:textId="77777777" w:rsidR="00617493" w:rsidRDefault="00000000">
            <w:pPr>
              <w:spacing w:before="60" w:after="60"/>
              <w:rPr>
                <w:rFonts w:ascii="Arial" w:eastAsia="宋体" w:hAnsi="Arial"/>
                <w:color w:val="000000" w:themeColor="text1"/>
                <w:sz w:val="18"/>
                <w:lang w:eastAsia="zh-CN"/>
              </w:rPr>
            </w:pPr>
            <w:r>
              <w:rPr>
                <w:rFonts w:ascii="Arial" w:eastAsia="Times" w:hAnsi="Arial"/>
                <w:color w:val="000000" w:themeColor="text1"/>
                <w:sz w:val="18"/>
              </w:rPr>
              <w:t xml:space="preserve">of the most radiation-resistant stage of </w:t>
            </w:r>
            <w:r>
              <w:rPr>
                <w:rFonts w:ascii="Arial" w:eastAsia="Times" w:hAnsi="Arial"/>
                <w:i/>
                <w:iCs/>
                <w:color w:val="000000" w:themeColor="text1"/>
                <w:sz w:val="18"/>
              </w:rPr>
              <w:t>Trogoderma granarium</w:t>
            </w:r>
            <w:r>
              <w:rPr>
                <w:rFonts w:ascii="Arial" w:eastAsia="Times" w:hAnsi="Arial"/>
                <w:color w:val="000000" w:themeColor="text1"/>
                <w:sz w:val="18"/>
              </w:rPr>
              <w:t xml:space="preserve"> adults</w:t>
            </w:r>
            <w:r>
              <w:rPr>
                <w:rFonts w:ascii="Arial" w:eastAsia="宋体" w:hAnsi="Arial" w:hint="eastAsia"/>
                <w:color w:val="000000" w:themeColor="text1"/>
                <w:sz w:val="18"/>
                <w:lang w:val="en-US" w:eastAsia="zh-CN"/>
              </w:rPr>
              <w:t>.</w:t>
            </w:r>
          </w:p>
        </w:tc>
      </w:tr>
      <w:tr w:rsidR="00617493" w14:paraId="0A4EF44F" w14:textId="77777777">
        <w:trPr>
          <w:jc w:val="center"/>
        </w:trPr>
        <w:tc>
          <w:tcPr>
            <w:tcW w:w="1555" w:type="dxa"/>
          </w:tcPr>
          <w:p w14:paraId="444D8E20"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References</w:t>
            </w:r>
          </w:p>
        </w:tc>
        <w:tc>
          <w:tcPr>
            <w:tcW w:w="7795" w:type="dxa"/>
          </w:tcPr>
          <w:p w14:paraId="6E523CE3"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 xml:space="preserve">Mansour M. 2016. Irradiation as a phytosanitary treatment against </w:t>
            </w:r>
            <w:r>
              <w:rPr>
                <w:rFonts w:ascii="Arial" w:eastAsia="Times" w:hAnsi="Arial"/>
                <w:i/>
                <w:iCs/>
                <w:color w:val="000000" w:themeColor="text1"/>
                <w:sz w:val="18"/>
              </w:rPr>
              <w:t>Trogoderma granarium</w:t>
            </w:r>
            <w:r>
              <w:rPr>
                <w:rFonts w:ascii="Arial" w:eastAsia="Times" w:hAnsi="Arial"/>
                <w:color w:val="000000" w:themeColor="text1"/>
                <w:sz w:val="18"/>
              </w:rPr>
              <w:t xml:space="preserve"> (Coleoptera: Dermestidae). Flordia Entomologist,</w:t>
            </w:r>
            <w:r>
              <w:rPr>
                <w:rFonts w:ascii="Arial" w:eastAsiaTheme="minorEastAsia" w:hAnsi="Arial" w:hint="eastAsia"/>
                <w:color w:val="000000" w:themeColor="text1"/>
                <w:sz w:val="18"/>
                <w:lang w:eastAsia="zh-CN"/>
              </w:rPr>
              <w:t xml:space="preserve"> </w:t>
            </w:r>
            <w:r>
              <w:rPr>
                <w:rFonts w:ascii="Arial" w:eastAsia="Times" w:hAnsi="Arial"/>
                <w:color w:val="000000" w:themeColor="text1"/>
                <w:sz w:val="18"/>
              </w:rPr>
              <w:t>99, 138-142.</w:t>
            </w:r>
          </w:p>
          <w:p w14:paraId="63F6B371" w14:textId="77777777" w:rsidR="00617493" w:rsidRDefault="00000000">
            <w:pPr>
              <w:spacing w:before="60" w:after="60"/>
              <w:rPr>
                <w:rFonts w:ascii="Arial" w:eastAsia="Times" w:hAnsi="Arial"/>
                <w:color w:val="000000" w:themeColor="text1"/>
                <w:sz w:val="18"/>
              </w:rPr>
            </w:pPr>
            <w:r>
              <w:rPr>
                <w:rFonts w:ascii="Arial" w:eastAsia="Times" w:hAnsi="Arial"/>
                <w:color w:val="000000" w:themeColor="text1"/>
                <w:sz w:val="18"/>
              </w:rPr>
              <w:t xml:space="preserve">Zhao Q.Y., Li T.X., Song Z.J., Sun T., Liu B., Han X., Li Z.H., &amp; Zhan G.P. 2021. Combination of Modified Atmosphere and Irradiation for the Phytosanitary Disinfestation of </w:t>
            </w:r>
            <w:r>
              <w:rPr>
                <w:rFonts w:ascii="Arial" w:eastAsia="Times" w:hAnsi="Arial"/>
                <w:i/>
                <w:iCs/>
                <w:color w:val="000000" w:themeColor="text1"/>
                <w:sz w:val="18"/>
              </w:rPr>
              <w:t>Trogoderma granarium</w:t>
            </w:r>
            <w:r>
              <w:rPr>
                <w:rFonts w:ascii="Arial" w:eastAsia="Times" w:hAnsi="Arial"/>
                <w:color w:val="000000" w:themeColor="text1"/>
                <w:sz w:val="18"/>
              </w:rPr>
              <w:t xml:space="preserve"> Everts (Coleoptera: Dermestidae). Insects. 12: 442. Doi.: /10.3390/insects12050442.</w:t>
            </w:r>
          </w:p>
        </w:tc>
      </w:tr>
    </w:tbl>
    <w:p w14:paraId="11FF30A7" w14:textId="77777777" w:rsidR="00617493" w:rsidRDefault="00617493"/>
    <w:p w14:paraId="05FA21C1" w14:textId="77777777" w:rsidR="00617493" w:rsidRDefault="00000000">
      <w:pPr>
        <w:spacing w:after="180"/>
        <w:rPr>
          <w:rFonts w:eastAsia="Times"/>
        </w:rPr>
      </w:pPr>
      <w:r>
        <w:rPr>
          <w:rFonts w:eastAsia="Times"/>
        </w:rPr>
        <w:t xml:space="preserve">The following form must be completed in accordance with </w:t>
      </w:r>
      <w:hyperlink r:id="rId12" w:history="1">
        <w:r>
          <w:rPr>
            <w:rFonts w:eastAsia="Times"/>
            <w:color w:val="3366FF"/>
            <w:u w:val="single"/>
          </w:rPr>
          <w:t xml:space="preserve">ISPM 28 </w:t>
        </w:r>
        <w:r>
          <w:rPr>
            <w:rFonts w:eastAsia="Times"/>
            <w:i/>
            <w:color w:val="3366FF"/>
            <w:u w:val="single"/>
          </w:rPr>
          <w:t>Phytosanitary treatments for regulated pests</w:t>
        </w:r>
      </w:hyperlink>
      <w:r>
        <w:rPr>
          <w:rFonts w:eastAsia="Times"/>
        </w:rPr>
        <w:t xml:space="preserve">, the IPPC Strategic Framework and the </w:t>
      </w:r>
      <w:r>
        <w:rPr>
          <w:rFonts w:eastAsia="Times"/>
          <w:i/>
        </w:rPr>
        <w:t>Procedure and criteria for identifying topics for inclusion in the IPPC standard setting work programme</w:t>
      </w:r>
      <w:r>
        <w:rPr>
          <w:rFonts w:eastAsia="Times"/>
        </w:rPr>
        <w:t xml:space="preserve">. </w:t>
      </w:r>
    </w:p>
    <w:p w14:paraId="67EDAD98" w14:textId="77777777" w:rsidR="00617493" w:rsidRDefault="00000000">
      <w:pPr>
        <w:spacing w:after="180"/>
        <w:rPr>
          <w:rFonts w:eastAsia="Times"/>
        </w:rPr>
      </w:pPr>
      <w:r>
        <w:rPr>
          <w:rFonts w:eastAsia="Times"/>
        </w:rPr>
        <w:t>Copies of all relevant supporting information and publications should be supplied with the treatment submission, preferably in PDF format, for ease of subsequent distribution.</w:t>
      </w:r>
    </w:p>
    <w:p w14:paraId="2429A12C" w14:textId="77777777" w:rsidR="00617493" w:rsidRDefault="00000000">
      <w:pPr>
        <w:keepNext/>
        <w:spacing w:after="180"/>
        <w:rPr>
          <w:rFonts w:eastAsia="Times"/>
        </w:rPr>
      </w:pPr>
      <w:r>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4A0" w:firstRow="1" w:lastRow="0" w:firstColumn="1" w:lastColumn="0" w:noHBand="0" w:noVBand="1"/>
      </w:tblPr>
      <w:tblGrid>
        <w:gridCol w:w="9360"/>
      </w:tblGrid>
      <w:tr w:rsidR="00617493" w14:paraId="11476095" w14:textId="77777777">
        <w:trPr>
          <w:jc w:val="center"/>
        </w:trPr>
        <w:tc>
          <w:tcPr>
            <w:tcW w:w="0" w:type="auto"/>
            <w:shd w:val="clear" w:color="auto" w:fill="244061"/>
          </w:tcPr>
          <w:p w14:paraId="6C18DF9C" w14:textId="77777777" w:rsidR="00617493" w:rsidRDefault="00000000">
            <w:pPr>
              <w:rPr>
                <w:rFonts w:ascii="Arial" w:eastAsia="Times" w:hAnsi="Arial"/>
                <w:b/>
                <w:color w:val="FFFFFF"/>
                <w:sz w:val="18"/>
                <w:szCs w:val="18"/>
              </w:rPr>
            </w:pPr>
            <w:r>
              <w:rPr>
                <w:rFonts w:ascii="Arial" w:eastAsia="Times" w:hAnsi="Arial"/>
                <w:b/>
                <w:color w:val="FFFFFF"/>
                <w:sz w:val="18"/>
                <w:szCs w:val="18"/>
              </w:rPr>
              <w:t>3.2</w:t>
            </w:r>
            <w:r>
              <w:rPr>
                <w:rFonts w:ascii="Arial" w:eastAsia="Times" w:hAnsi="Arial"/>
                <w:b/>
                <w:color w:val="FFFFFF"/>
                <w:sz w:val="18"/>
                <w:szCs w:val="18"/>
              </w:rPr>
              <w:tab/>
              <w:t>Efficacy data in support of the submission of a phytosanitary treatment</w:t>
            </w:r>
          </w:p>
        </w:tc>
      </w:tr>
      <w:tr w:rsidR="00617493" w14:paraId="0BA7046F" w14:textId="77777777">
        <w:trPr>
          <w:jc w:val="center"/>
        </w:trPr>
        <w:tc>
          <w:tcPr>
            <w:tcW w:w="0" w:type="auto"/>
            <w:tcBorders>
              <w:bottom w:val="single" w:sz="6" w:space="0" w:color="auto"/>
            </w:tcBorders>
            <w:shd w:val="clear" w:color="auto" w:fill="auto"/>
          </w:tcPr>
          <w:p w14:paraId="7A50DFCF" w14:textId="77777777" w:rsidR="00617493" w:rsidRDefault="00000000">
            <w:pPr>
              <w:rPr>
                <w:rFonts w:ascii="Arial" w:eastAsia="Times" w:hAnsi="Arial"/>
                <w:sz w:val="18"/>
                <w:szCs w:val="18"/>
              </w:rPr>
            </w:pPr>
            <w:r>
              <w:rPr>
                <w:rFonts w:ascii="Arial" w:eastAsia="Times" w:hAnsi="Arial"/>
                <w:sz w:val="18"/>
                <w:szCs w:val="18"/>
              </w:rPr>
              <w:t>The source of all efficacy data (published or unpublished) should be provided in the submission. Supporting data should be presented clearly and systematically.</w:t>
            </w:r>
          </w:p>
        </w:tc>
      </w:tr>
      <w:tr w:rsidR="00617493" w14:paraId="40790448" w14:textId="77777777">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2161D019" w14:textId="77777777" w:rsidR="00617493" w:rsidRDefault="00000000">
            <w:pPr>
              <w:rPr>
                <w:rFonts w:ascii="Arial" w:eastAsia="Times" w:hAnsi="Arial"/>
                <w:b/>
                <w:color w:val="FFFFFF"/>
                <w:sz w:val="18"/>
                <w:szCs w:val="18"/>
              </w:rPr>
            </w:pPr>
            <w:r>
              <w:rPr>
                <w:rFonts w:ascii="Arial" w:eastAsia="Times" w:hAnsi="Arial"/>
                <w:b/>
                <w:color w:val="FFFFFF"/>
                <w:sz w:val="18"/>
                <w:szCs w:val="18"/>
              </w:rPr>
              <w:t>3.2.1</w:t>
            </w:r>
            <w:r>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617493" w14:paraId="67BFA5A2" w14:textId="77777777">
        <w:trPr>
          <w:jc w:val="center"/>
        </w:trPr>
        <w:tc>
          <w:tcPr>
            <w:tcW w:w="0" w:type="auto"/>
            <w:tcBorders>
              <w:top w:val="single" w:sz="6" w:space="0" w:color="auto"/>
              <w:bottom w:val="single" w:sz="4" w:space="0" w:color="auto"/>
            </w:tcBorders>
            <w:shd w:val="clear" w:color="auto" w:fill="B7D4FF"/>
          </w:tcPr>
          <w:p w14:paraId="7DA616A5" w14:textId="77777777" w:rsidR="00617493" w:rsidRDefault="00000000">
            <w:pPr>
              <w:rPr>
                <w:rFonts w:ascii="Arial" w:eastAsia="Times" w:hAnsi="Arial"/>
                <w:caps/>
                <w:sz w:val="18"/>
                <w:szCs w:val="18"/>
              </w:rPr>
            </w:pPr>
            <w:r>
              <w:rPr>
                <w:rFonts w:ascii="Arial" w:eastAsia="Times" w:hAnsi="Arial"/>
                <w:bCs/>
                <w:sz w:val="18"/>
                <w:szCs w:val="18"/>
              </w:rPr>
              <w:t>Pest information</w:t>
            </w:r>
          </w:p>
        </w:tc>
      </w:tr>
      <w:tr w:rsidR="00617493" w14:paraId="0CFA47EF" w14:textId="77777777">
        <w:trPr>
          <w:jc w:val="center"/>
        </w:trPr>
        <w:tc>
          <w:tcPr>
            <w:tcW w:w="0" w:type="auto"/>
            <w:shd w:val="clear" w:color="auto" w:fill="D9E8FF"/>
          </w:tcPr>
          <w:p w14:paraId="3E42350F" w14:textId="77777777" w:rsidR="00617493" w:rsidRDefault="00000000">
            <w:pPr>
              <w:rPr>
                <w:rFonts w:ascii="Arial" w:eastAsia="Times" w:hAnsi="Arial"/>
                <w:caps/>
                <w:sz w:val="18"/>
                <w:szCs w:val="18"/>
              </w:rPr>
            </w:pPr>
            <w:bookmarkStart w:id="7" w:name="OLE_LINK1"/>
            <w:r>
              <w:rPr>
                <w:rFonts w:ascii="Arial" w:eastAsia="Times" w:hAnsi="Arial"/>
                <w:sz w:val="18"/>
                <w:szCs w:val="18"/>
              </w:rPr>
              <w:t>Identity of the pest to the appropriate level, life stage, and if a laboratory or field strain was used</w:t>
            </w:r>
            <w:bookmarkEnd w:id="7"/>
          </w:p>
        </w:tc>
      </w:tr>
      <w:tr w:rsidR="00617493" w14:paraId="20E0BBC4" w14:textId="77777777">
        <w:trPr>
          <w:jc w:val="center"/>
        </w:trPr>
        <w:tc>
          <w:tcPr>
            <w:tcW w:w="0" w:type="auto"/>
            <w:tcBorders>
              <w:bottom w:val="single" w:sz="4" w:space="0" w:color="auto"/>
            </w:tcBorders>
          </w:tcPr>
          <w:p w14:paraId="78A65A3D"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s="Arial"/>
                <w:sz w:val="18"/>
                <w:szCs w:val="18"/>
                <w:lang w:val="en-US"/>
              </w:rPr>
            </w:pPr>
            <w:r>
              <w:rPr>
                <w:rFonts w:ascii="Arial" w:eastAsiaTheme="minorEastAsia" w:hAnsi="Arial" w:cs="Arial"/>
                <w:sz w:val="18"/>
                <w:szCs w:val="18"/>
                <w:lang w:val="en-US"/>
              </w:rPr>
              <w:t>The adults (newly emerged) and larvae (middle-, late-</w:t>
            </w:r>
            <w:r>
              <w:rPr>
                <w:rFonts w:ascii="Arial" w:eastAsiaTheme="minorEastAsia" w:hAnsi="Arial" w:cs="Arial" w:hint="eastAsia"/>
                <w:sz w:val="18"/>
                <w:szCs w:val="18"/>
                <w:lang w:val="en-US" w:eastAsia="zh-CN"/>
              </w:rPr>
              <w:t>aged</w:t>
            </w:r>
            <w:r>
              <w:rPr>
                <w:rFonts w:ascii="Arial" w:eastAsiaTheme="minorEastAsia" w:hAnsi="Arial" w:cs="Arial"/>
                <w:sz w:val="18"/>
                <w:szCs w:val="18"/>
                <w:lang w:val="en-US"/>
              </w:rPr>
              <w:t xml:space="preserve"> and their mixed stages) of </w:t>
            </w:r>
            <w:r>
              <w:rPr>
                <w:rFonts w:ascii="Arial" w:eastAsiaTheme="minorEastAsia" w:hAnsi="Arial" w:cs="Arial"/>
                <w:i/>
                <w:iCs/>
                <w:sz w:val="18"/>
                <w:szCs w:val="18"/>
                <w:lang w:val="en-US"/>
              </w:rPr>
              <w:t xml:space="preserve">Trogoderma granarium </w:t>
            </w:r>
            <w:r>
              <w:rPr>
                <w:rFonts w:ascii="Arial" w:eastAsiaTheme="minorEastAsia" w:hAnsi="Arial" w:cs="Arial"/>
                <w:sz w:val="18"/>
                <w:szCs w:val="18"/>
                <w:lang w:val="en-US"/>
              </w:rPr>
              <w:t>were respectively subjected to treatments and then</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reared at room temperature (24–26 °C) to check mortality.</w:t>
            </w:r>
          </w:p>
        </w:tc>
      </w:tr>
      <w:tr w:rsidR="00617493" w14:paraId="795DADB4" w14:textId="77777777">
        <w:trPr>
          <w:jc w:val="center"/>
        </w:trPr>
        <w:tc>
          <w:tcPr>
            <w:tcW w:w="0" w:type="auto"/>
            <w:shd w:val="clear" w:color="auto" w:fill="D9E8FF"/>
          </w:tcPr>
          <w:p w14:paraId="68900D5E" w14:textId="77777777" w:rsidR="00617493" w:rsidRDefault="00000000">
            <w:pPr>
              <w:rPr>
                <w:rFonts w:ascii="Arial" w:eastAsia="Times" w:hAnsi="Arial"/>
                <w:caps/>
                <w:sz w:val="18"/>
                <w:szCs w:val="18"/>
              </w:rPr>
            </w:pPr>
            <w:r>
              <w:rPr>
                <w:rFonts w:ascii="Arial" w:eastAsia="Times" w:hAnsi="Arial"/>
                <w:sz w:val="18"/>
                <w:szCs w:val="18"/>
              </w:rPr>
              <w:t>Conditions under which the pests are cultured, reared or grown</w:t>
            </w:r>
          </w:p>
        </w:tc>
      </w:tr>
      <w:tr w:rsidR="00617493" w14:paraId="6F3813B4" w14:textId="77777777">
        <w:trPr>
          <w:jc w:val="center"/>
        </w:trPr>
        <w:tc>
          <w:tcPr>
            <w:tcW w:w="0" w:type="auto"/>
            <w:tcBorders>
              <w:bottom w:val="single" w:sz="4" w:space="0" w:color="auto"/>
            </w:tcBorders>
          </w:tcPr>
          <w:p w14:paraId="19DDDB70" w14:textId="77777777" w:rsidR="00617493" w:rsidRDefault="00000000">
            <w:pPr>
              <w:widowControl w:val="0"/>
              <w:autoSpaceDE w:val="0"/>
              <w:autoSpaceDN w:val="0"/>
              <w:adjustRightInd w:val="0"/>
              <w:spacing w:beforeLines="50" w:before="120" w:afterLines="50" w:after="120"/>
              <w:jc w:val="left"/>
              <w:rPr>
                <w:rFonts w:ascii="Arial" w:eastAsia="Times" w:hAnsi="Arial"/>
                <w:caps/>
                <w:sz w:val="18"/>
                <w:szCs w:val="18"/>
              </w:rPr>
            </w:pPr>
            <w:r>
              <w:rPr>
                <w:rFonts w:ascii="Arial" w:eastAsiaTheme="minorEastAsia" w:hAnsi="Arial" w:cs="Arial"/>
                <w:sz w:val="18"/>
                <w:szCs w:val="18"/>
              </w:rPr>
              <w:t xml:space="preserve">The progeny of </w:t>
            </w:r>
            <w:r>
              <w:rPr>
                <w:rFonts w:ascii="Arial" w:eastAsiaTheme="minorEastAsia" w:hAnsi="Arial" w:cs="Arial"/>
                <w:i/>
                <w:iCs/>
                <w:sz w:val="18"/>
                <w:szCs w:val="18"/>
              </w:rPr>
              <w:t>T</w:t>
            </w:r>
            <w:r>
              <w:rPr>
                <w:rFonts w:ascii="Arial" w:eastAsiaTheme="minorEastAsia" w:hAnsi="Arial" w:cs="Arial"/>
                <w:sz w:val="18"/>
                <w:szCs w:val="18"/>
              </w:rPr>
              <w:t xml:space="preserve">. </w:t>
            </w:r>
            <w:r>
              <w:rPr>
                <w:rFonts w:ascii="Arial" w:eastAsiaTheme="minorEastAsia" w:hAnsi="Arial" w:cs="Arial"/>
                <w:i/>
                <w:iCs/>
                <w:sz w:val="18"/>
                <w:szCs w:val="18"/>
                <w:lang w:val="en-US"/>
              </w:rPr>
              <w:t xml:space="preserve">granarium </w:t>
            </w:r>
            <w:r>
              <w:rPr>
                <w:rFonts w:ascii="Arial" w:eastAsiaTheme="minorEastAsia" w:hAnsi="Arial" w:cs="Arial"/>
                <w:sz w:val="18"/>
                <w:szCs w:val="18"/>
              </w:rPr>
              <w:t>were</w:t>
            </w:r>
            <w:r>
              <w:rPr>
                <w:rFonts w:ascii="Arial" w:eastAsiaTheme="minorEastAsia" w:hAnsi="Arial" w:cs="Arial"/>
                <w:sz w:val="18"/>
                <w:szCs w:val="18"/>
                <w:lang w:val="en-US"/>
              </w:rPr>
              <w:t xml:space="preserve"> reared with pesticide-free groundnut cakes and</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peanut pieces together in the closed glass bottles. A constant temperature and humidity</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chamber (Chongqing Weir Experimental Equipment Co., Ltd., Chongqing, China) was</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used to place the rearing bottles by keeping the condition at 35</w:t>
            </w:r>
            <w:r>
              <w:rPr>
                <w:rFonts w:ascii="Arial" w:eastAsiaTheme="minorEastAsia" w:hAnsi="Arial" w:cs="Arial" w:hint="eastAsia"/>
                <w:sz w:val="18"/>
                <w:szCs w:val="18"/>
                <w:lang w:val="en-US" w:eastAsia="zh-CN"/>
              </w:rPr>
              <w:t xml:space="preserve"> </w:t>
            </w:r>
            <w:r>
              <w:rPr>
                <w:rFonts w:ascii="Arial" w:eastAsiaTheme="minorEastAsia" w:hAnsi="Arial" w:cs="Arial"/>
                <w:sz w:val="18"/>
                <w:szCs w:val="18"/>
                <w:lang w:val="en-US" w:eastAsia="zh-CN"/>
              </w:rPr>
              <w:t>±</w:t>
            </w:r>
            <w:r>
              <w:rPr>
                <w:rFonts w:ascii="Arial" w:eastAsiaTheme="minorEastAsia" w:hAnsi="Arial" w:cs="Arial"/>
                <w:sz w:val="18"/>
                <w:szCs w:val="18"/>
                <w:lang w:val="en-US"/>
              </w:rPr>
              <w:t xml:space="preserve"> 1°C and 65 </w:t>
            </w:r>
            <w:r>
              <w:rPr>
                <w:rFonts w:ascii="Arial" w:eastAsiaTheme="minorEastAsia" w:hAnsi="Arial" w:cs="Arial"/>
                <w:sz w:val="18"/>
                <w:szCs w:val="18"/>
                <w:lang w:val="en-US" w:eastAsia="zh-CN"/>
              </w:rPr>
              <w:t>±</w:t>
            </w:r>
            <w:r>
              <w:rPr>
                <w:rFonts w:ascii="Arial" w:eastAsiaTheme="minorEastAsia" w:hAnsi="Arial" w:cs="Arial"/>
                <w:sz w:val="18"/>
                <w:szCs w:val="18"/>
                <w:lang w:val="en-US"/>
              </w:rPr>
              <w:t xml:space="preserve"> 10% R.H.</w:t>
            </w:r>
            <w:r>
              <w:rPr>
                <w:rFonts w:ascii="Arial" w:eastAsiaTheme="minorEastAsia" w:hAnsi="Arial" w:cs="Arial" w:hint="eastAsia"/>
                <w:sz w:val="18"/>
                <w:szCs w:val="18"/>
                <w:lang w:val="en-US" w:eastAsia="zh-CN"/>
              </w:rPr>
              <w:t xml:space="preserve"> </w:t>
            </w:r>
            <w:r>
              <w:rPr>
                <w:rFonts w:ascii="Arial" w:eastAsiaTheme="minorEastAsia" w:hAnsi="Arial" w:cs="Arial"/>
                <w:sz w:val="18"/>
                <w:szCs w:val="18"/>
                <w:lang w:val="en-US"/>
              </w:rPr>
              <w:t>in continual darkness.</w:t>
            </w:r>
          </w:p>
        </w:tc>
      </w:tr>
      <w:tr w:rsidR="00617493" w14:paraId="4AC47A63" w14:textId="77777777">
        <w:trPr>
          <w:jc w:val="center"/>
        </w:trPr>
        <w:tc>
          <w:tcPr>
            <w:tcW w:w="0" w:type="auto"/>
            <w:shd w:val="clear" w:color="auto" w:fill="D9E8FF"/>
          </w:tcPr>
          <w:p w14:paraId="5558CD2F" w14:textId="77777777" w:rsidR="00617493" w:rsidRDefault="00000000">
            <w:pPr>
              <w:rPr>
                <w:rFonts w:ascii="Arial" w:eastAsia="Times" w:hAnsi="Arial"/>
                <w:caps/>
                <w:sz w:val="18"/>
                <w:szCs w:val="18"/>
              </w:rPr>
            </w:pPr>
            <w:r>
              <w:rPr>
                <w:rFonts w:ascii="Arial" w:eastAsia="Times" w:hAnsi="Arial"/>
                <w:sz w:val="18"/>
                <w:szCs w:val="18"/>
              </w:rPr>
              <w:t>Biological traits of the pest relevant to the treatment</w:t>
            </w:r>
          </w:p>
        </w:tc>
      </w:tr>
      <w:tr w:rsidR="00617493" w14:paraId="57733A0D" w14:textId="77777777">
        <w:trPr>
          <w:jc w:val="center"/>
        </w:trPr>
        <w:tc>
          <w:tcPr>
            <w:tcW w:w="0" w:type="auto"/>
            <w:tcBorders>
              <w:bottom w:val="single" w:sz="4" w:space="0" w:color="auto"/>
            </w:tcBorders>
          </w:tcPr>
          <w:p w14:paraId="6E97FA89" w14:textId="77777777" w:rsidR="00617493" w:rsidRDefault="00000000">
            <w:pPr>
              <w:widowControl w:val="0"/>
              <w:autoSpaceDE w:val="0"/>
              <w:autoSpaceDN w:val="0"/>
              <w:adjustRightInd w:val="0"/>
              <w:spacing w:beforeLines="50" w:before="120" w:afterLines="50" w:after="120"/>
              <w:rPr>
                <w:rFonts w:ascii="Arial" w:eastAsiaTheme="minorEastAsia" w:hAnsi="Arial" w:cs="Arial"/>
                <w:sz w:val="18"/>
                <w:szCs w:val="18"/>
                <w:lang w:val="en-US" w:eastAsia="zh-CN"/>
              </w:rPr>
            </w:pPr>
            <w:r>
              <w:rPr>
                <w:rFonts w:ascii="Arial" w:eastAsiaTheme="minorEastAsia" w:hAnsi="Arial" w:cs="Arial" w:hint="eastAsia"/>
                <w:sz w:val="18"/>
                <w:szCs w:val="18"/>
                <w:lang w:val="en-US"/>
              </w:rPr>
              <w:t xml:space="preserve">The khapra beetle </w:t>
            </w:r>
            <w:r>
              <w:rPr>
                <w:rFonts w:ascii="Arial" w:eastAsiaTheme="minorEastAsia" w:hAnsi="Arial" w:cs="Arial" w:hint="eastAsia"/>
                <w:i/>
                <w:iCs/>
                <w:sz w:val="18"/>
                <w:szCs w:val="18"/>
                <w:lang w:val="en-US"/>
              </w:rPr>
              <w:t>Trogoderma granarium</w:t>
            </w:r>
            <w:r>
              <w:rPr>
                <w:rFonts w:ascii="Arial" w:eastAsiaTheme="minorEastAsia" w:hAnsi="Arial" w:cs="Arial" w:hint="eastAsia"/>
                <w:sz w:val="18"/>
                <w:szCs w:val="18"/>
                <w:lang w:val="en-US"/>
              </w:rPr>
              <w:t xml:space="preserve"> is a noxious stored</w:t>
            </w:r>
            <w:r>
              <w:rPr>
                <w:rFonts w:ascii="Arial" w:eastAsiaTheme="minorEastAsia" w:hAnsi="Arial" w:cs="Arial"/>
                <w:sz w:val="18"/>
                <w:szCs w:val="18"/>
                <w:lang w:val="en-US"/>
              </w:rPr>
              <w:t xml:space="preserve"> </w:t>
            </w:r>
            <w:r>
              <w:rPr>
                <w:rFonts w:ascii="Arial" w:eastAsiaTheme="minorEastAsia" w:hAnsi="Arial" w:cs="Arial" w:hint="eastAsia"/>
                <w:sz w:val="18"/>
                <w:szCs w:val="18"/>
                <w:lang w:val="en-US"/>
              </w:rPr>
              <w:t xml:space="preserve">product insect that is listed as a quarantine species by </w:t>
            </w:r>
            <w:r>
              <w:rPr>
                <w:rFonts w:ascii="Arial" w:eastAsiaTheme="minorEastAsia" w:hAnsi="Arial" w:cs="Arial" w:hint="eastAsia"/>
                <w:sz w:val="18"/>
                <w:szCs w:val="18"/>
                <w:lang w:val="en-US"/>
              </w:rPr>
              <w:lastRenderedPageBreak/>
              <w:t xml:space="preserve">the European and Mediterranean Plant Protection Organization (EPPO) and others. </w:t>
            </w:r>
            <w:r>
              <w:rPr>
                <w:rFonts w:ascii="Arial" w:eastAsiaTheme="minorEastAsia" w:hAnsi="Arial" w:cs="Arial"/>
                <w:sz w:val="18"/>
                <w:szCs w:val="18"/>
                <w:lang w:val="en-US"/>
              </w:rPr>
              <w:t>It</w:t>
            </w:r>
            <w:r>
              <w:rPr>
                <w:rFonts w:ascii="Arial" w:eastAsiaTheme="minorEastAsia" w:hAnsi="Arial" w:cs="Arial" w:hint="eastAsia"/>
                <w:sz w:val="18"/>
                <w:szCs w:val="18"/>
                <w:lang w:val="en-US"/>
              </w:rPr>
              <w:t xml:space="preserve"> is endemic to India and has expanded regionally in recent centuries via human travel even though adults do not fly. Like most stored-product pests, </w:t>
            </w:r>
            <w:r>
              <w:rPr>
                <w:rFonts w:ascii="Arial" w:eastAsiaTheme="minorEastAsia" w:hAnsi="Arial" w:cs="Arial" w:hint="eastAsia"/>
                <w:i/>
                <w:iCs/>
                <w:sz w:val="18"/>
                <w:szCs w:val="18"/>
                <w:lang w:val="en-US"/>
              </w:rPr>
              <w:t>T</w:t>
            </w:r>
            <w:r>
              <w:rPr>
                <w:rFonts w:ascii="Arial" w:eastAsiaTheme="minorEastAsia" w:hAnsi="Arial" w:cs="Arial" w:hint="eastAsia"/>
                <w:sz w:val="18"/>
                <w:szCs w:val="18"/>
                <w:lang w:val="en-US"/>
              </w:rPr>
              <w:t xml:space="preserve">. </w:t>
            </w:r>
            <w:r>
              <w:rPr>
                <w:rFonts w:ascii="Arial" w:eastAsiaTheme="minorEastAsia" w:hAnsi="Arial" w:cs="Arial" w:hint="eastAsia"/>
                <w:i/>
                <w:iCs/>
                <w:sz w:val="18"/>
                <w:szCs w:val="18"/>
                <w:lang w:val="en-US"/>
              </w:rPr>
              <w:t>granarium</w:t>
            </w:r>
            <w:r>
              <w:rPr>
                <w:rFonts w:ascii="Arial" w:eastAsiaTheme="minorEastAsia" w:hAnsi="Arial" w:cs="Arial" w:hint="eastAsia"/>
                <w:sz w:val="18"/>
                <w:szCs w:val="18"/>
                <w:lang w:val="en-US"/>
              </w:rPr>
              <w:t xml:space="preserve"> was introduced to other continents through international trade. The current distribution of </w:t>
            </w:r>
            <w:r>
              <w:rPr>
                <w:rFonts w:ascii="Arial" w:eastAsiaTheme="minorEastAsia" w:hAnsi="Arial" w:cs="Arial" w:hint="eastAsia"/>
                <w:i/>
                <w:iCs/>
                <w:sz w:val="18"/>
                <w:szCs w:val="18"/>
                <w:lang w:val="en-US"/>
              </w:rPr>
              <w:t>T</w:t>
            </w:r>
            <w:r>
              <w:rPr>
                <w:rFonts w:ascii="Arial" w:eastAsiaTheme="minorEastAsia" w:hAnsi="Arial" w:cs="Arial" w:hint="eastAsia"/>
                <w:sz w:val="18"/>
                <w:szCs w:val="18"/>
                <w:lang w:val="en-US"/>
              </w:rPr>
              <w:t xml:space="preserve">. </w:t>
            </w:r>
            <w:r>
              <w:rPr>
                <w:rFonts w:ascii="Arial" w:eastAsiaTheme="minorEastAsia" w:hAnsi="Arial" w:cs="Arial" w:hint="eastAsia"/>
                <w:i/>
                <w:iCs/>
                <w:sz w:val="18"/>
                <w:szCs w:val="18"/>
                <w:lang w:val="en-US"/>
              </w:rPr>
              <w:t>granarium</w:t>
            </w:r>
            <w:r>
              <w:rPr>
                <w:rFonts w:ascii="Arial" w:eastAsiaTheme="minorEastAsia" w:hAnsi="Arial" w:cs="Arial" w:hint="eastAsia"/>
                <w:sz w:val="18"/>
                <w:szCs w:val="18"/>
                <w:lang w:val="en-US"/>
              </w:rPr>
              <w:t xml:space="preserve"> includes several countries in Africa and South Asia and a few in Europe, while the number of interceptions in countries in which khapra-beetle is not established has increased steadily in recent decades. The khapra beetle shares habitats with other storage pests and can overcome competition with an exceptional capacity for population growth and other life history traits. Many stored-product dermestids are scavengers in late successional stages of storage ecosystems, but the khapra beetle can be a voracious primary feeder, damaging more grain than it consumes, on staple cereal grains like wheat kept in good storage condition. Larvae of this species, particularly those in diapause, are tolerant to common insecticides and other control methods that are usually effective against most stored-product insects. The word khapra from Urdu and Hindi can mean carapace, tile, shard, or destroyer, all of which describe the persistence, tolerance, and destructiveness of this synanthropic pest. Newly hatched larvae feed on grain dust or broken kernels, while whole grains are attacked by fourth-instar or older larvae. Adults do not feed.</w:t>
            </w:r>
          </w:p>
        </w:tc>
      </w:tr>
      <w:tr w:rsidR="00617493" w14:paraId="2570B0D4" w14:textId="77777777">
        <w:trPr>
          <w:jc w:val="center"/>
        </w:trPr>
        <w:tc>
          <w:tcPr>
            <w:tcW w:w="0" w:type="auto"/>
            <w:shd w:val="clear" w:color="auto" w:fill="D9E8FF"/>
          </w:tcPr>
          <w:p w14:paraId="7A86EE4B" w14:textId="77777777" w:rsidR="00617493" w:rsidRDefault="00000000">
            <w:pPr>
              <w:rPr>
                <w:rFonts w:ascii="Arial" w:eastAsia="Times" w:hAnsi="Arial"/>
                <w:caps/>
                <w:sz w:val="18"/>
                <w:szCs w:val="18"/>
              </w:rPr>
            </w:pPr>
            <w:r>
              <w:rPr>
                <w:rFonts w:ascii="Arial" w:eastAsia="Times" w:hAnsi="Arial"/>
                <w:sz w:val="18"/>
                <w:szCs w:val="18"/>
              </w:rPr>
              <w:lastRenderedPageBreak/>
              <w:t>Method of natural or artificial infestation</w:t>
            </w:r>
          </w:p>
        </w:tc>
      </w:tr>
      <w:tr w:rsidR="00617493" w14:paraId="7DF9DEFD" w14:textId="77777777">
        <w:trPr>
          <w:jc w:val="center"/>
        </w:trPr>
        <w:tc>
          <w:tcPr>
            <w:tcW w:w="0" w:type="auto"/>
            <w:tcBorders>
              <w:bottom w:val="single" w:sz="4" w:space="0" w:color="auto"/>
            </w:tcBorders>
          </w:tcPr>
          <w:p w14:paraId="6F3C78F9"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aps/>
                <w:sz w:val="18"/>
                <w:szCs w:val="18"/>
                <w:lang w:val="en-US" w:eastAsia="zh-CN"/>
              </w:rPr>
            </w:pPr>
            <w:r>
              <w:rPr>
                <w:rFonts w:ascii="Arial" w:eastAsia="Times" w:hAnsi="Arial"/>
                <w:b/>
                <w:bCs/>
                <w:sz w:val="18"/>
                <w:szCs w:val="18"/>
              </w:rPr>
              <w:t>Artificial infestation</w:t>
            </w:r>
            <w:r>
              <w:rPr>
                <w:rFonts w:ascii="Arial" w:eastAsia="宋体" w:hAnsi="Arial" w:hint="eastAsia"/>
                <w:b/>
                <w:bCs/>
                <w:sz w:val="18"/>
                <w:szCs w:val="18"/>
                <w:lang w:val="en-US" w:eastAsia="zh-CN"/>
              </w:rPr>
              <w:t>.</w:t>
            </w:r>
            <w:r>
              <w:rPr>
                <w:rFonts w:ascii="Arial" w:eastAsia="宋体" w:hAnsi="Arial"/>
                <w:b/>
                <w:bCs/>
                <w:sz w:val="18"/>
                <w:szCs w:val="18"/>
                <w:lang w:val="en-US" w:eastAsia="zh-CN"/>
              </w:rPr>
              <w:t xml:space="preserve"> </w:t>
            </w:r>
            <w:r>
              <w:rPr>
                <w:rFonts w:ascii="Arial" w:eastAsia="宋体" w:hAnsi="Arial" w:hint="eastAsia"/>
                <w:sz w:val="18"/>
                <w:szCs w:val="18"/>
                <w:lang w:val="en-US" w:eastAsia="zh-CN"/>
              </w:rPr>
              <w:t xml:space="preserve">The khapra beetle </w:t>
            </w:r>
            <w:r>
              <w:rPr>
                <w:rFonts w:ascii="Arial" w:eastAsiaTheme="minorEastAsia" w:hAnsi="Arial" w:cs="Arial" w:hint="eastAsia"/>
                <w:sz w:val="18"/>
                <w:szCs w:val="18"/>
                <w:lang w:val="en-US"/>
              </w:rPr>
              <w:t>progeny</w:t>
            </w:r>
            <w:r>
              <w:rPr>
                <w:rFonts w:ascii="Arial" w:eastAsia="宋体" w:hAnsi="Arial" w:hint="eastAsia"/>
                <w:sz w:val="18"/>
                <w:szCs w:val="18"/>
                <w:lang w:val="en-US" w:eastAsia="zh-CN"/>
              </w:rPr>
              <w:t xml:space="preserve"> used in this study was originally from an intercepted sample which was found in an Iranian commercial ship in 2013 at the port of Suzhou, China; after then, it was reared for generations with pesticide-free groundnut cakes and peanut pieces together in the closed glass bottles.</w:t>
            </w:r>
            <w:r>
              <w:rPr>
                <w:rFonts w:ascii="Arial" w:eastAsia="宋体" w:hAnsi="Arial"/>
                <w:sz w:val="18"/>
                <w:szCs w:val="18"/>
                <w:lang w:val="en-US" w:eastAsia="zh-CN"/>
              </w:rPr>
              <w:t xml:space="preserve"> Before testing, the target stages were picked out using soft brush into the plastic box containing artificial diets.</w:t>
            </w:r>
          </w:p>
        </w:tc>
      </w:tr>
      <w:tr w:rsidR="00617493" w14:paraId="1172627D" w14:textId="77777777">
        <w:trPr>
          <w:jc w:val="center"/>
        </w:trPr>
        <w:tc>
          <w:tcPr>
            <w:tcW w:w="0" w:type="auto"/>
            <w:shd w:val="clear" w:color="auto" w:fill="D9E8FF"/>
          </w:tcPr>
          <w:p w14:paraId="75EC9DE5" w14:textId="77777777" w:rsidR="00617493"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617493" w14:paraId="65C4CAEF" w14:textId="77777777">
        <w:trPr>
          <w:jc w:val="center"/>
        </w:trPr>
        <w:tc>
          <w:tcPr>
            <w:tcW w:w="0" w:type="auto"/>
            <w:tcBorders>
              <w:bottom w:val="single" w:sz="4" w:space="0" w:color="auto"/>
            </w:tcBorders>
          </w:tcPr>
          <w:p w14:paraId="656CA33C" w14:textId="16C73254" w:rsidR="00617493" w:rsidRDefault="00000000" w:rsidP="002D4091">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Times" w:hAnsi="Arial" w:hint="eastAsia"/>
                <w:sz w:val="18"/>
                <w:szCs w:val="18"/>
              </w:rPr>
              <w:t>The middle- to late-age</w:t>
            </w:r>
            <w:r>
              <w:rPr>
                <w:rFonts w:ascii="Arial" w:eastAsia="Times" w:hAnsi="Arial"/>
                <w:sz w:val="18"/>
                <w:szCs w:val="18"/>
              </w:rPr>
              <w:t>d</w:t>
            </w:r>
            <w:r>
              <w:rPr>
                <w:rFonts w:ascii="Arial" w:eastAsia="Times" w:hAnsi="Arial" w:hint="eastAsia"/>
                <w:sz w:val="18"/>
                <w:szCs w:val="18"/>
              </w:rPr>
              <w:t xml:space="preserve"> larvae</w:t>
            </w:r>
            <w:r>
              <w:rPr>
                <w:rFonts w:ascii="Arial" w:eastAsia="宋体" w:hAnsi="Arial" w:hint="eastAsia"/>
                <w:sz w:val="18"/>
                <w:szCs w:val="18"/>
                <w:lang w:val="en-US" w:eastAsia="zh-CN"/>
              </w:rPr>
              <w:t xml:space="preserve"> </w:t>
            </w:r>
            <w:r>
              <w:rPr>
                <w:rFonts w:ascii="Arial" w:eastAsia="Times" w:hAnsi="Arial" w:hint="eastAsia"/>
                <w:sz w:val="18"/>
                <w:szCs w:val="18"/>
              </w:rPr>
              <w:t xml:space="preserve">and </w:t>
            </w:r>
            <w:r>
              <w:rPr>
                <w:rFonts w:ascii="Arial" w:eastAsiaTheme="minorEastAsia" w:hAnsi="Arial" w:cs="Arial" w:hint="eastAsia"/>
                <w:sz w:val="18"/>
                <w:szCs w:val="18"/>
                <w:lang w:val="en-US"/>
              </w:rPr>
              <w:t>adults</w:t>
            </w:r>
            <w:r>
              <w:rPr>
                <w:rFonts w:ascii="Arial" w:eastAsia="Times" w:hAnsi="Arial" w:hint="eastAsia"/>
                <w:sz w:val="18"/>
                <w:szCs w:val="18"/>
              </w:rPr>
              <w:t xml:space="preserve"> were treated with irradiation, modified atmosphere (MA) alone, and their combinations</w:t>
            </w:r>
            <w:r>
              <w:rPr>
                <w:rFonts w:ascii="Arial" w:eastAsia="宋体" w:hAnsi="Arial" w:hint="eastAsia"/>
                <w:sz w:val="18"/>
                <w:szCs w:val="18"/>
                <w:lang w:val="en-US" w:eastAsia="zh-CN"/>
              </w:rPr>
              <w:t xml:space="preserve"> </w:t>
            </w:r>
            <w:r>
              <w:rPr>
                <w:rFonts w:ascii="Arial" w:eastAsia="Times" w:hAnsi="Arial" w:hint="eastAsia"/>
                <w:sz w:val="18"/>
                <w:szCs w:val="18"/>
              </w:rPr>
              <w:t>at room temperature of 24</w:t>
            </w:r>
            <w:r>
              <w:rPr>
                <w:rFonts w:ascii="Arial" w:eastAsiaTheme="minorEastAsia" w:hAnsi="Arial" w:hint="eastAsia"/>
                <w:sz w:val="18"/>
                <w:szCs w:val="18"/>
                <w:lang w:eastAsia="zh-CN"/>
              </w:rPr>
              <w:t>-</w:t>
            </w:r>
            <w:r>
              <w:rPr>
                <w:rFonts w:ascii="Arial" w:eastAsia="Times" w:hAnsi="Arial" w:hint="eastAsia"/>
                <w:sz w:val="18"/>
                <w:szCs w:val="18"/>
              </w:rPr>
              <w:t>26</w:t>
            </w:r>
            <w:r w:rsidR="002D4091" w:rsidRPr="002D4091">
              <w:rPr>
                <w:rFonts w:ascii="宋体" w:eastAsia="宋体" w:hAnsi="宋体" w:cs="宋体" w:hint="eastAsia"/>
                <w:sz w:val="18"/>
                <w:szCs w:val="18"/>
              </w:rPr>
              <w:t>℃</w:t>
            </w:r>
            <w:r>
              <w:rPr>
                <w:rFonts w:ascii="Arial" w:eastAsia="Times" w:hAnsi="Arial" w:hint="eastAsia"/>
                <w:sz w:val="18"/>
                <w:szCs w:val="18"/>
              </w:rPr>
              <w:t>. As a result, late-stage larvae are determined as the most tolerant</w:t>
            </w:r>
            <w:r w:rsidR="002D4091">
              <w:rPr>
                <w:rFonts w:ascii="Arial" w:eastAsia="Times" w:hAnsi="Arial"/>
                <w:sz w:val="18"/>
                <w:szCs w:val="18"/>
              </w:rPr>
              <w:t xml:space="preserve"> </w:t>
            </w:r>
            <w:r>
              <w:rPr>
                <w:rFonts w:ascii="Arial" w:eastAsia="Times" w:hAnsi="Arial" w:hint="eastAsia"/>
                <w:sz w:val="18"/>
                <w:szCs w:val="18"/>
              </w:rPr>
              <w:t>stage.</w:t>
            </w:r>
            <w:r>
              <w:rPr>
                <w:rFonts w:ascii="Arial" w:eastAsia="宋体" w:hAnsi="Arial" w:hint="eastAsia"/>
                <w:sz w:val="18"/>
                <w:szCs w:val="18"/>
                <w:lang w:val="en-US" w:eastAsia="zh-CN"/>
              </w:rPr>
              <w:t xml:space="preserve"> The results and data analysis are described as below.</w:t>
            </w:r>
          </w:p>
          <w:p w14:paraId="13BF2784" w14:textId="02994F55" w:rsidR="00617493" w:rsidRDefault="00000000">
            <w:pPr>
              <w:rPr>
                <w:rFonts w:ascii="Arial" w:eastAsia="宋体" w:hAnsi="Arial"/>
                <w:sz w:val="18"/>
                <w:szCs w:val="18"/>
                <w:lang w:val="en-US" w:eastAsia="zh-CN"/>
              </w:rPr>
            </w:pPr>
            <w:r>
              <w:rPr>
                <w:rFonts w:ascii="Arial" w:eastAsia="宋体" w:hAnsi="Arial" w:hint="eastAsia"/>
                <w:b/>
                <w:bCs/>
                <w:sz w:val="18"/>
                <w:szCs w:val="18"/>
                <w:lang w:val="en-US" w:eastAsia="zh-CN"/>
              </w:rPr>
              <w:t>Gamma radiation of adults and mixed-aged larvae:</w:t>
            </w:r>
            <w:r>
              <w:rPr>
                <w:rFonts w:ascii="Arial" w:eastAsia="宋体" w:hAnsi="Arial" w:hint="eastAsia"/>
                <w:sz w:val="18"/>
                <w:szCs w:val="18"/>
                <w:lang w:val="en-US" w:eastAsia="zh-CN"/>
              </w:rPr>
              <w:t xml:space="preserve"> there is no significant difference of </w:t>
            </w:r>
            <w:r>
              <w:rPr>
                <w:rFonts w:ascii="Arial" w:eastAsia="宋体" w:hAnsi="Arial" w:hint="eastAsia"/>
                <w:i/>
                <w:iCs/>
                <w:sz w:val="18"/>
                <w:szCs w:val="18"/>
                <w:lang w:val="en-US" w:eastAsia="zh-CN"/>
              </w:rPr>
              <w:t>T. granarium</w:t>
            </w:r>
            <w:r>
              <w:rPr>
                <w:rFonts w:ascii="Arial" w:eastAsia="宋体" w:hAnsi="Arial" w:hint="eastAsia"/>
                <w:sz w:val="18"/>
                <w:szCs w:val="18"/>
                <w:lang w:val="en-US" w:eastAsia="zh-CN"/>
              </w:rPr>
              <w:t xml:space="preserve"> adult and larvae treated with 200, 400, and 600 Gy gamma radiation for the duration of 7, 14, 21, and 28-d at 24</w:t>
            </w:r>
            <w:r>
              <w:rPr>
                <w:rFonts w:ascii="Arial" w:eastAsia="宋体" w:hAnsi="Arial" w:hint="eastAsia"/>
                <w:sz w:val="18"/>
                <w:szCs w:val="18"/>
                <w:lang w:val="en-US" w:eastAsia="zh-CN"/>
              </w:rPr>
              <w:t>–</w:t>
            </w:r>
            <w:r>
              <w:rPr>
                <w:rFonts w:ascii="Arial" w:eastAsia="宋体" w:hAnsi="Arial" w:hint="eastAsia"/>
                <w:sz w:val="18"/>
                <w:szCs w:val="18"/>
                <w:lang w:val="en-US" w:eastAsia="zh-CN"/>
              </w:rPr>
              <w:t>26</w:t>
            </w:r>
            <w:r w:rsidR="002D4091" w:rsidRPr="002D4091">
              <w:rPr>
                <w:rFonts w:ascii="宋体" w:eastAsia="宋体" w:hAnsi="宋体" w:cs="宋体" w:hint="eastAsia"/>
                <w:sz w:val="18"/>
                <w:szCs w:val="18"/>
              </w:rPr>
              <w:t>℃</w:t>
            </w:r>
            <w:r>
              <w:rPr>
                <w:rFonts w:ascii="Arial" w:eastAsia="宋体" w:hAnsi="Arial" w:hint="eastAsia"/>
                <w:sz w:val="18"/>
                <w:szCs w:val="18"/>
                <w:lang w:val="en-US" w:eastAsia="zh-CN"/>
              </w:rPr>
              <w:t>. The larvae are significantly more tolerant to irradiation than adults (mortality was used for evaluating treatment efficacy).</w:t>
            </w:r>
          </w:p>
          <w:p w14:paraId="275BA9F4" w14:textId="77777777" w:rsidR="00617493" w:rsidRDefault="00000000">
            <w:pPr>
              <w:rPr>
                <w:lang w:eastAsia="zh-CN"/>
              </w:rPr>
            </w:pPr>
            <w:r>
              <w:rPr>
                <w:noProof/>
                <w:lang w:eastAsia="zh-CN"/>
              </w:rPr>
              <w:drawing>
                <wp:inline distT="0" distB="0" distL="0" distR="0" wp14:anchorId="1529418E" wp14:editId="6AC49417">
                  <wp:extent cx="4979670" cy="279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95763" cy="2805999"/>
                          </a:xfrm>
                          <a:prstGeom prst="rect">
                            <a:avLst/>
                          </a:prstGeom>
                          <a:noFill/>
                        </pic:spPr>
                      </pic:pic>
                    </a:graphicData>
                  </a:graphic>
                </wp:inline>
              </w:drawing>
            </w:r>
          </w:p>
          <w:p w14:paraId="0293B58F" w14:textId="77777777" w:rsidR="00617493" w:rsidRDefault="00000000">
            <w:pPr>
              <w:rPr>
                <w:rFonts w:ascii="Arial" w:hAnsi="Arial" w:cs="Arial"/>
                <w:sz w:val="18"/>
                <w:szCs w:val="18"/>
                <w:lang w:val="en-US" w:eastAsia="zh-CN"/>
              </w:rPr>
            </w:pPr>
            <w:r>
              <w:rPr>
                <w:rFonts w:ascii="Arial" w:hAnsi="Arial" w:cs="Arial"/>
                <w:sz w:val="18"/>
                <w:szCs w:val="18"/>
                <w:lang w:val="en-US" w:eastAsia="zh-CN"/>
              </w:rPr>
              <w:t>Figure 1. Percentage mortality of T. granarium adult and larvae treated with 200, 400, and 600 Gy gamma radiation for the duration of 7, 14, 21, and 28-d at 24–26 ℃. Means (±SD) followed with different letters are significantly different (p ˂ 0.05; Tukey test).</w:t>
            </w:r>
          </w:p>
          <w:p w14:paraId="77A8E019" w14:textId="77777777" w:rsidR="00617493" w:rsidRDefault="00000000">
            <w:pPr>
              <w:widowControl w:val="0"/>
              <w:autoSpaceDE w:val="0"/>
              <w:autoSpaceDN w:val="0"/>
              <w:adjustRightInd w:val="0"/>
              <w:spacing w:beforeLines="50" w:before="120" w:afterLines="50" w:after="120"/>
              <w:jc w:val="left"/>
              <w:rPr>
                <w:rFonts w:ascii="Arial" w:hAnsi="Arial" w:cs="Arial"/>
                <w:sz w:val="18"/>
                <w:szCs w:val="18"/>
                <w:lang w:val="en-US" w:eastAsia="zh-CN"/>
              </w:rPr>
            </w:pPr>
            <w:r>
              <w:rPr>
                <w:rFonts w:ascii="Arial" w:hAnsi="Arial" w:cs="Arial"/>
                <w:b/>
                <w:bCs/>
                <w:sz w:val="18"/>
                <w:szCs w:val="18"/>
                <w:lang w:val="en-US" w:eastAsia="zh-CN"/>
              </w:rPr>
              <w:t>Gamma radiation combination with MA treatments of adults and mixed-aged larvae</w:t>
            </w:r>
            <w:r>
              <w:rPr>
                <w:rFonts w:ascii="Arial" w:hAnsi="Arial" w:cs="Arial" w:hint="eastAsia"/>
                <w:b/>
                <w:bCs/>
                <w:sz w:val="18"/>
                <w:szCs w:val="18"/>
                <w:lang w:val="en-US" w:eastAsia="zh-CN"/>
              </w:rPr>
              <w:t xml:space="preserve">: </w:t>
            </w:r>
            <w:r>
              <w:rPr>
                <w:rFonts w:ascii="Arial" w:eastAsiaTheme="minorEastAsia" w:hAnsi="Arial" w:cs="Arial" w:hint="eastAsia"/>
                <w:sz w:val="18"/>
                <w:szCs w:val="18"/>
                <w:lang w:val="en-US"/>
              </w:rPr>
              <w:t>Most</w:t>
            </w:r>
            <w:r>
              <w:rPr>
                <w:rFonts w:ascii="Arial" w:hAnsi="Arial" w:cs="Arial" w:hint="eastAsia"/>
                <w:sz w:val="18"/>
                <w:szCs w:val="18"/>
                <w:lang w:val="en-US" w:eastAsia="zh-CN"/>
              </w:rPr>
              <w:t xml:space="preserve"> of the adult and mixed-aged larvae of </w:t>
            </w:r>
            <w:r>
              <w:rPr>
                <w:rFonts w:ascii="Arial" w:hAnsi="Arial" w:cs="Arial" w:hint="eastAsia"/>
                <w:i/>
                <w:iCs/>
                <w:sz w:val="18"/>
                <w:szCs w:val="18"/>
                <w:lang w:val="en-US" w:eastAsia="zh-CN"/>
              </w:rPr>
              <w:t>T. granarium</w:t>
            </w:r>
            <w:r>
              <w:rPr>
                <w:rFonts w:ascii="Arial" w:hAnsi="Arial" w:cs="Arial" w:hint="eastAsia"/>
                <w:sz w:val="18"/>
                <w:szCs w:val="18"/>
                <w:lang w:val="en-US" w:eastAsia="zh-CN"/>
              </w:rPr>
              <w:t xml:space="preserve"> died within 7-d, and all of them died within 14-d when they were exposed to 1% MA treatment after gamma radiation. Larvae are also more tolerant to MA-irradiation combined treatment than an adult, just as irradiation treatment alone (Figure 2).</w:t>
            </w:r>
          </w:p>
          <w:p w14:paraId="24AA2548" w14:textId="77777777" w:rsidR="00617493" w:rsidRDefault="00000000">
            <w:pPr>
              <w:jc w:val="center"/>
              <w:rPr>
                <w:lang w:eastAsia="zh-CN"/>
              </w:rPr>
            </w:pPr>
            <w:r>
              <w:rPr>
                <w:noProof/>
                <w:lang w:eastAsia="zh-CN"/>
              </w:rPr>
              <w:lastRenderedPageBreak/>
              <w:drawing>
                <wp:inline distT="0" distB="0" distL="0" distR="0" wp14:anchorId="12721657" wp14:editId="3DCFD54E">
                  <wp:extent cx="4989195" cy="27971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89600" cy="2797200"/>
                          </a:xfrm>
                          <a:prstGeom prst="rect">
                            <a:avLst/>
                          </a:prstGeom>
                          <a:noFill/>
                        </pic:spPr>
                      </pic:pic>
                    </a:graphicData>
                  </a:graphic>
                </wp:inline>
              </w:drawing>
            </w:r>
          </w:p>
          <w:p w14:paraId="2E6511DA" w14:textId="77777777" w:rsidR="00617493" w:rsidRDefault="00000000">
            <w:pPr>
              <w:rPr>
                <w:rFonts w:ascii="Arial" w:hAnsi="Arial" w:cs="Arial"/>
                <w:sz w:val="18"/>
                <w:szCs w:val="18"/>
                <w:lang w:val="en-US" w:eastAsia="zh-CN"/>
              </w:rPr>
            </w:pPr>
            <w:r>
              <w:rPr>
                <w:rFonts w:ascii="Arial" w:hAnsi="Arial" w:cs="Arial"/>
                <w:sz w:val="18"/>
                <w:szCs w:val="18"/>
                <w:lang w:val="en-US" w:eastAsia="zh-CN"/>
              </w:rPr>
              <w:t xml:space="preserve">Figure 2. Percentage mortality of </w:t>
            </w:r>
            <w:r>
              <w:rPr>
                <w:rFonts w:ascii="Arial" w:hAnsi="Arial" w:cs="Arial"/>
                <w:i/>
                <w:iCs/>
                <w:sz w:val="18"/>
                <w:szCs w:val="18"/>
                <w:lang w:val="en-US" w:eastAsia="zh-CN"/>
              </w:rPr>
              <w:t>T. granarium</w:t>
            </w:r>
            <w:r>
              <w:rPr>
                <w:rFonts w:ascii="Arial" w:hAnsi="Arial" w:cs="Arial"/>
                <w:sz w:val="18"/>
                <w:szCs w:val="18"/>
                <w:lang w:val="en-US" w:eastAsia="zh-CN"/>
              </w:rPr>
              <w:t xml:space="preserve"> adult and mixed-stage larvae treated at 24–26℃under 1% O</w:t>
            </w:r>
            <w:r>
              <w:rPr>
                <w:rFonts w:ascii="Arial" w:hAnsi="Arial" w:cs="Arial"/>
                <w:sz w:val="18"/>
                <w:szCs w:val="18"/>
                <w:vertAlign w:val="subscript"/>
                <w:lang w:val="en-US" w:eastAsia="zh-CN"/>
              </w:rPr>
              <w:t>2</w:t>
            </w:r>
            <w:r>
              <w:rPr>
                <w:rFonts w:ascii="Arial" w:hAnsi="Arial" w:cs="Arial"/>
                <w:sz w:val="18"/>
                <w:szCs w:val="18"/>
                <w:lang w:val="en-US" w:eastAsia="zh-CN"/>
              </w:rPr>
              <w:t xml:space="preserve"> atmosphere for the exposure time of 7, 14, and 21-d after 200, 400, and 600 Gy gamma radiation. Means (±SD) followed by different letters are significantly different (p ˂ 0.05; Tukey test).</w:t>
            </w:r>
          </w:p>
          <w:p w14:paraId="766A91BD" w14:textId="77777777" w:rsidR="00617493" w:rsidRDefault="00617493">
            <w:pPr>
              <w:rPr>
                <w:rFonts w:ascii="Arial" w:hAnsi="Arial" w:cs="Arial"/>
                <w:sz w:val="18"/>
                <w:szCs w:val="18"/>
                <w:lang w:val="en-US" w:eastAsia="zh-CN"/>
              </w:rPr>
            </w:pPr>
          </w:p>
          <w:p w14:paraId="7165ECAE" w14:textId="77777777" w:rsidR="00617493" w:rsidRDefault="00000000">
            <w:pPr>
              <w:rPr>
                <w:rFonts w:ascii="Arial" w:hAnsi="Arial" w:cs="Arial"/>
                <w:sz w:val="18"/>
                <w:szCs w:val="18"/>
                <w:lang w:val="en-US" w:eastAsia="zh-CN"/>
              </w:rPr>
            </w:pPr>
            <w:r>
              <w:rPr>
                <w:rFonts w:ascii="Arial" w:hAnsi="Arial" w:cs="Arial"/>
                <w:b/>
                <w:bCs/>
                <w:sz w:val="18"/>
                <w:szCs w:val="18"/>
                <w:lang w:val="en-US" w:eastAsia="zh-CN"/>
              </w:rPr>
              <w:t xml:space="preserve">MA in combination with X-ray radiation treatments of adults, middle-, and late-aged larvae. </w:t>
            </w:r>
            <w:r>
              <w:rPr>
                <w:rFonts w:ascii="Arial" w:hAnsi="Arial" w:cs="Arial" w:hint="eastAsia"/>
                <w:sz w:val="18"/>
                <w:szCs w:val="18"/>
                <w:lang w:val="en-US" w:eastAsia="zh-CN"/>
              </w:rPr>
              <w:t xml:space="preserve">The mortality within a stage increased significantly with increasing radiation doses and exposure times; the least mortality for late-aged larvae (77.4 </w:t>
            </w:r>
            <w:r>
              <w:rPr>
                <w:rFonts w:ascii="Arial" w:hAnsi="Arial" w:cs="Arial" w:hint="eastAsia"/>
                <w:sz w:val="18"/>
                <w:szCs w:val="18"/>
                <w:lang w:val="en-US" w:eastAsia="zh-CN"/>
              </w:rPr>
              <w:t>±</w:t>
            </w:r>
            <w:r>
              <w:rPr>
                <w:rFonts w:ascii="Arial" w:hAnsi="Arial" w:cs="Arial" w:hint="eastAsia"/>
                <w:sz w:val="18"/>
                <w:szCs w:val="18"/>
                <w:lang w:val="en-US" w:eastAsia="zh-CN"/>
              </w:rPr>
              <w:t xml:space="preserve"> 20.6%) means it is the most tolerant stage, followed by middle-age</w:t>
            </w:r>
            <w:r>
              <w:rPr>
                <w:rFonts w:ascii="Arial" w:hAnsi="Arial" w:cs="Arial"/>
                <w:sz w:val="18"/>
                <w:szCs w:val="18"/>
                <w:lang w:val="en-US" w:eastAsia="zh-CN"/>
              </w:rPr>
              <w:t>d</w:t>
            </w:r>
            <w:r>
              <w:rPr>
                <w:rFonts w:ascii="Arial" w:hAnsi="Arial" w:cs="Arial" w:hint="eastAsia"/>
                <w:sz w:val="18"/>
                <w:szCs w:val="18"/>
                <w:lang w:val="en-US" w:eastAsia="zh-CN"/>
              </w:rPr>
              <w:t xml:space="preserve"> larvae (87.3 </w:t>
            </w:r>
            <w:r>
              <w:rPr>
                <w:rFonts w:ascii="Arial" w:hAnsi="Arial" w:cs="Arial" w:hint="eastAsia"/>
                <w:sz w:val="18"/>
                <w:szCs w:val="18"/>
                <w:lang w:val="en-US" w:eastAsia="zh-CN"/>
              </w:rPr>
              <w:t>±</w:t>
            </w:r>
            <w:r>
              <w:rPr>
                <w:rFonts w:ascii="Arial" w:hAnsi="Arial" w:cs="Arial" w:hint="eastAsia"/>
                <w:sz w:val="18"/>
                <w:szCs w:val="18"/>
                <w:lang w:val="en-US" w:eastAsia="zh-CN"/>
              </w:rPr>
              <w:t xml:space="preserve"> 17.4%), while the adult is the least radio-tolerant stage with the largest mortality of 93.5 </w:t>
            </w:r>
            <w:r>
              <w:rPr>
                <w:rFonts w:ascii="Arial" w:hAnsi="Arial" w:cs="Arial" w:hint="eastAsia"/>
                <w:sz w:val="18"/>
                <w:szCs w:val="18"/>
                <w:lang w:val="en-US" w:eastAsia="zh-CN"/>
              </w:rPr>
              <w:t>±</w:t>
            </w:r>
            <w:r>
              <w:rPr>
                <w:rFonts w:ascii="Arial" w:hAnsi="Arial" w:cs="Arial" w:hint="eastAsia"/>
                <w:sz w:val="18"/>
                <w:szCs w:val="18"/>
                <w:lang w:val="en-US" w:eastAsia="zh-CN"/>
              </w:rPr>
              <w:t xml:space="preserve"> 8.4% (Table 2). </w:t>
            </w:r>
          </w:p>
          <w:tbl>
            <w:tblPr>
              <w:tblStyle w:val="af1"/>
              <w:tblpPr w:leftFromText="180" w:rightFromText="180" w:vertAnchor="text" w:horzAnchor="page" w:tblpX="-76" w:tblpY="850"/>
              <w:tblOverlap w:val="never"/>
              <w:tblW w:w="9198" w:type="dxa"/>
              <w:tblBorders>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1069"/>
              <w:gridCol w:w="1069"/>
              <w:gridCol w:w="1070"/>
              <w:gridCol w:w="1264"/>
              <w:gridCol w:w="1198"/>
              <w:gridCol w:w="1264"/>
              <w:gridCol w:w="1132"/>
              <w:gridCol w:w="1132"/>
            </w:tblGrid>
            <w:tr w:rsidR="00617493" w14:paraId="6610D7C3" w14:textId="77777777">
              <w:trPr>
                <w:trHeight w:val="180"/>
              </w:trPr>
              <w:tc>
                <w:tcPr>
                  <w:tcW w:w="1069" w:type="dxa"/>
                  <w:vMerge w:val="restart"/>
                  <w:shd w:val="clear" w:color="auto" w:fill="auto"/>
                  <w:vAlign w:val="center"/>
                </w:tcPr>
                <w:p w14:paraId="6E35B423" w14:textId="77777777" w:rsidR="00617493" w:rsidRDefault="00000000">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Stage</w:t>
                  </w:r>
                </w:p>
              </w:tc>
              <w:tc>
                <w:tcPr>
                  <w:tcW w:w="1069" w:type="dxa"/>
                  <w:vMerge w:val="restart"/>
                  <w:shd w:val="clear" w:color="auto" w:fill="auto"/>
                  <w:vAlign w:val="center"/>
                </w:tcPr>
                <w:p w14:paraId="1D4C9655" w14:textId="77777777" w:rsidR="00617493" w:rsidRDefault="00000000">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X-Rays (Gy)</w:t>
                  </w:r>
                </w:p>
              </w:tc>
              <w:tc>
                <w:tcPr>
                  <w:tcW w:w="1070" w:type="dxa"/>
                  <w:vMerge w:val="restart"/>
                  <w:shd w:val="clear" w:color="auto" w:fill="auto"/>
                  <w:vAlign w:val="center"/>
                </w:tcPr>
                <w:p w14:paraId="1E2FF8D9" w14:textId="77777777" w:rsidR="00617493" w:rsidRDefault="00000000">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No. of Insects</w:t>
                  </w:r>
                </w:p>
              </w:tc>
              <w:tc>
                <w:tcPr>
                  <w:tcW w:w="4858" w:type="dxa"/>
                  <w:gridSpan w:val="4"/>
                  <w:shd w:val="clear" w:color="auto" w:fill="auto"/>
                  <w:vAlign w:val="center"/>
                </w:tcPr>
                <w:p w14:paraId="316A58A0" w14:textId="77777777" w:rsidR="00617493" w:rsidRDefault="00000000">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Corrected Mortality (%) at Exposure Time of:</w:t>
                  </w:r>
                </w:p>
              </w:tc>
              <w:tc>
                <w:tcPr>
                  <w:tcW w:w="1132" w:type="dxa"/>
                  <w:vMerge w:val="restart"/>
                  <w:shd w:val="clear" w:color="auto" w:fill="auto"/>
                  <w:vAlign w:val="center"/>
                </w:tcPr>
                <w:p w14:paraId="57D6CA04" w14:textId="107231E6" w:rsidR="00617493" w:rsidRDefault="002D4091">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Overall</w:t>
                  </w:r>
                  <w:r w:rsidR="00000000">
                    <w:rPr>
                      <w:rFonts w:ascii="Arial" w:hAnsi="Arial" w:cs="Arial"/>
                      <w:bCs/>
                      <w:color w:val="000000" w:themeColor="text1"/>
                      <w:sz w:val="18"/>
                      <w:szCs w:val="18"/>
                    </w:rPr>
                    <w:t xml:space="preserve"> Mortality (%)</w:t>
                  </w:r>
                </w:p>
              </w:tc>
            </w:tr>
            <w:tr w:rsidR="00617493" w14:paraId="7B15AE2F" w14:textId="77777777">
              <w:trPr>
                <w:trHeight w:val="180"/>
              </w:trPr>
              <w:tc>
                <w:tcPr>
                  <w:tcW w:w="1069" w:type="dxa"/>
                  <w:vMerge/>
                  <w:shd w:val="clear" w:color="auto" w:fill="auto"/>
                  <w:vAlign w:val="center"/>
                </w:tcPr>
                <w:p w14:paraId="2F324BA7" w14:textId="77777777" w:rsidR="00617493" w:rsidRDefault="00617493">
                  <w:pPr>
                    <w:autoSpaceDE w:val="0"/>
                    <w:autoSpaceDN w:val="0"/>
                    <w:adjustRightInd w:val="0"/>
                    <w:snapToGrid w:val="0"/>
                    <w:jc w:val="center"/>
                    <w:rPr>
                      <w:rFonts w:ascii="Arial" w:hAnsi="Arial" w:cs="Arial"/>
                      <w:b/>
                      <w:color w:val="000000" w:themeColor="text1"/>
                      <w:sz w:val="18"/>
                      <w:szCs w:val="18"/>
                    </w:rPr>
                  </w:pPr>
                </w:p>
              </w:tc>
              <w:tc>
                <w:tcPr>
                  <w:tcW w:w="1069" w:type="dxa"/>
                  <w:vMerge/>
                  <w:shd w:val="clear" w:color="auto" w:fill="auto"/>
                  <w:vAlign w:val="center"/>
                </w:tcPr>
                <w:p w14:paraId="378D0A27" w14:textId="77777777" w:rsidR="00617493" w:rsidRDefault="00617493">
                  <w:pPr>
                    <w:autoSpaceDE w:val="0"/>
                    <w:autoSpaceDN w:val="0"/>
                    <w:adjustRightInd w:val="0"/>
                    <w:snapToGrid w:val="0"/>
                    <w:jc w:val="center"/>
                    <w:rPr>
                      <w:rFonts w:ascii="Arial" w:hAnsi="Arial" w:cs="Arial"/>
                      <w:b/>
                      <w:color w:val="000000" w:themeColor="text1"/>
                      <w:sz w:val="18"/>
                      <w:szCs w:val="18"/>
                    </w:rPr>
                  </w:pPr>
                </w:p>
              </w:tc>
              <w:tc>
                <w:tcPr>
                  <w:tcW w:w="1070" w:type="dxa"/>
                  <w:vMerge/>
                  <w:shd w:val="clear" w:color="auto" w:fill="auto"/>
                  <w:vAlign w:val="center"/>
                </w:tcPr>
                <w:p w14:paraId="38CB54C2" w14:textId="77777777" w:rsidR="00617493" w:rsidRDefault="00617493">
                  <w:pPr>
                    <w:autoSpaceDE w:val="0"/>
                    <w:autoSpaceDN w:val="0"/>
                    <w:adjustRightInd w:val="0"/>
                    <w:snapToGrid w:val="0"/>
                    <w:jc w:val="center"/>
                    <w:rPr>
                      <w:rFonts w:ascii="Arial" w:hAnsi="Arial" w:cs="Arial"/>
                      <w:b/>
                      <w:color w:val="000000" w:themeColor="text1"/>
                      <w:sz w:val="18"/>
                      <w:szCs w:val="18"/>
                    </w:rPr>
                  </w:pPr>
                </w:p>
              </w:tc>
              <w:tc>
                <w:tcPr>
                  <w:tcW w:w="1264" w:type="dxa"/>
                  <w:shd w:val="clear" w:color="auto" w:fill="auto"/>
                  <w:vAlign w:val="center"/>
                </w:tcPr>
                <w:p w14:paraId="6B7F611A"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3-d</w:t>
                  </w:r>
                </w:p>
              </w:tc>
              <w:tc>
                <w:tcPr>
                  <w:tcW w:w="1198" w:type="dxa"/>
                  <w:shd w:val="clear" w:color="auto" w:fill="auto"/>
                  <w:vAlign w:val="center"/>
                </w:tcPr>
                <w:p w14:paraId="10BD1F5B"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6-d</w:t>
                  </w:r>
                </w:p>
              </w:tc>
              <w:tc>
                <w:tcPr>
                  <w:tcW w:w="1264" w:type="dxa"/>
                  <w:shd w:val="clear" w:color="auto" w:fill="auto"/>
                  <w:vAlign w:val="center"/>
                </w:tcPr>
                <w:p w14:paraId="426891BE"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9-d</w:t>
                  </w:r>
                </w:p>
              </w:tc>
              <w:tc>
                <w:tcPr>
                  <w:tcW w:w="1132" w:type="dxa"/>
                  <w:shd w:val="clear" w:color="auto" w:fill="auto"/>
                  <w:vAlign w:val="center"/>
                </w:tcPr>
                <w:p w14:paraId="40ABFBE4"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Mean ± SD</w:t>
                  </w:r>
                </w:p>
              </w:tc>
              <w:tc>
                <w:tcPr>
                  <w:tcW w:w="1132" w:type="dxa"/>
                  <w:vMerge/>
                  <w:shd w:val="clear" w:color="auto" w:fill="auto"/>
                  <w:vAlign w:val="center"/>
                </w:tcPr>
                <w:p w14:paraId="20EB39D0"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tr w:rsidR="00617493" w14:paraId="6336BC24" w14:textId="77777777">
              <w:trPr>
                <w:trHeight w:val="180"/>
              </w:trPr>
              <w:tc>
                <w:tcPr>
                  <w:tcW w:w="1069" w:type="dxa"/>
                  <w:vMerge w:val="restart"/>
                  <w:shd w:val="clear" w:color="auto" w:fill="auto"/>
                  <w:vAlign w:val="center"/>
                </w:tcPr>
                <w:p w14:paraId="09C8482C"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bookmarkStart w:id="8" w:name="_Hlk66085521"/>
                  <w:r>
                    <w:rPr>
                      <w:rFonts w:ascii="Arial" w:hAnsi="Arial" w:cs="Arial"/>
                      <w:bCs/>
                      <w:color w:val="000000" w:themeColor="text1"/>
                      <w:sz w:val="18"/>
                      <w:szCs w:val="18"/>
                    </w:rPr>
                    <w:t>Adults</w:t>
                  </w:r>
                </w:p>
              </w:tc>
              <w:tc>
                <w:tcPr>
                  <w:tcW w:w="1069" w:type="dxa"/>
                  <w:shd w:val="clear" w:color="auto" w:fill="auto"/>
                  <w:vAlign w:val="center"/>
                </w:tcPr>
                <w:p w14:paraId="638586A4"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200</w:t>
                  </w:r>
                </w:p>
              </w:tc>
              <w:tc>
                <w:tcPr>
                  <w:tcW w:w="1070" w:type="dxa"/>
                  <w:shd w:val="clear" w:color="auto" w:fill="auto"/>
                  <w:vAlign w:val="center"/>
                </w:tcPr>
                <w:p w14:paraId="148B266F"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1049</w:t>
                  </w:r>
                </w:p>
              </w:tc>
              <w:tc>
                <w:tcPr>
                  <w:tcW w:w="1264" w:type="dxa"/>
                  <w:shd w:val="clear" w:color="auto" w:fill="auto"/>
                  <w:vAlign w:val="center"/>
                </w:tcPr>
                <w:p w14:paraId="394E3688"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76.6 ± 1.3 cF</w:t>
                  </w:r>
                </w:p>
              </w:tc>
              <w:tc>
                <w:tcPr>
                  <w:tcW w:w="1198" w:type="dxa"/>
                  <w:shd w:val="clear" w:color="auto" w:fill="auto"/>
                  <w:vAlign w:val="center"/>
                </w:tcPr>
                <w:p w14:paraId="088EE0D1"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93.4 ± 3.6 bcE</w:t>
                  </w:r>
                </w:p>
              </w:tc>
              <w:tc>
                <w:tcPr>
                  <w:tcW w:w="1264" w:type="dxa"/>
                  <w:shd w:val="clear" w:color="auto" w:fill="auto"/>
                  <w:vAlign w:val="center"/>
                </w:tcPr>
                <w:p w14:paraId="6C536A7F"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100.0 ± 0.0 aD</w:t>
                  </w:r>
                </w:p>
              </w:tc>
              <w:tc>
                <w:tcPr>
                  <w:tcW w:w="1132" w:type="dxa"/>
                  <w:shd w:val="clear" w:color="auto" w:fill="auto"/>
                  <w:vAlign w:val="center"/>
                </w:tcPr>
                <w:p w14:paraId="5729694B"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90.0 ± 10.7 c</w:t>
                  </w:r>
                </w:p>
              </w:tc>
              <w:tc>
                <w:tcPr>
                  <w:tcW w:w="1132" w:type="dxa"/>
                  <w:vMerge w:val="restart"/>
                  <w:shd w:val="clear" w:color="auto" w:fill="auto"/>
                  <w:vAlign w:val="center"/>
                </w:tcPr>
                <w:p w14:paraId="6AB95675" w14:textId="77777777" w:rsidR="00617493" w:rsidRDefault="00000000">
                  <w:pPr>
                    <w:autoSpaceDE w:val="0"/>
                    <w:autoSpaceDN w:val="0"/>
                    <w:adjustRightInd w:val="0"/>
                    <w:snapToGrid w:val="0"/>
                    <w:jc w:val="center"/>
                    <w:rPr>
                      <w:rFonts w:ascii="Arial" w:hAnsi="Arial" w:cs="Arial"/>
                      <w:bCs/>
                      <w:color w:val="000000" w:themeColor="text1"/>
                      <w:sz w:val="18"/>
                      <w:szCs w:val="18"/>
                    </w:rPr>
                  </w:pPr>
                  <w:r>
                    <w:rPr>
                      <w:rFonts w:ascii="Arial" w:hAnsi="Arial" w:cs="Arial"/>
                      <w:bCs/>
                      <w:color w:val="000000" w:themeColor="text1"/>
                      <w:sz w:val="18"/>
                      <w:szCs w:val="18"/>
                    </w:rPr>
                    <w:t>93.5 ± 8.4 a</w:t>
                  </w:r>
                </w:p>
              </w:tc>
            </w:tr>
            <w:tr w:rsidR="00617493" w14:paraId="44503406" w14:textId="77777777">
              <w:trPr>
                <w:trHeight w:val="180"/>
              </w:trPr>
              <w:tc>
                <w:tcPr>
                  <w:tcW w:w="1069" w:type="dxa"/>
                  <w:vMerge/>
                  <w:shd w:val="clear" w:color="auto" w:fill="auto"/>
                  <w:vAlign w:val="center"/>
                </w:tcPr>
                <w:p w14:paraId="45DC91A9" w14:textId="77777777" w:rsidR="00617493" w:rsidRDefault="00617493"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p>
              </w:tc>
              <w:tc>
                <w:tcPr>
                  <w:tcW w:w="1069" w:type="dxa"/>
                  <w:shd w:val="clear" w:color="auto" w:fill="auto"/>
                  <w:vAlign w:val="center"/>
                </w:tcPr>
                <w:p w14:paraId="39CCDF68"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400</w:t>
                  </w:r>
                </w:p>
              </w:tc>
              <w:tc>
                <w:tcPr>
                  <w:tcW w:w="1070" w:type="dxa"/>
                  <w:shd w:val="clear" w:color="auto" w:fill="auto"/>
                  <w:vAlign w:val="center"/>
                </w:tcPr>
                <w:p w14:paraId="03A3588D"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1049</w:t>
                  </w:r>
                </w:p>
              </w:tc>
              <w:tc>
                <w:tcPr>
                  <w:tcW w:w="1264" w:type="dxa"/>
                  <w:shd w:val="clear" w:color="auto" w:fill="auto"/>
                  <w:vAlign w:val="center"/>
                </w:tcPr>
                <w:p w14:paraId="2C88BC71"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83.5 ± 1.8 bF</w:t>
                  </w:r>
                </w:p>
              </w:tc>
              <w:tc>
                <w:tcPr>
                  <w:tcW w:w="1198" w:type="dxa"/>
                  <w:shd w:val="clear" w:color="auto" w:fill="auto"/>
                  <w:vAlign w:val="center"/>
                </w:tcPr>
                <w:p w14:paraId="14B1FCC4"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98.2 ± 0.8 abE</w:t>
                  </w:r>
                </w:p>
              </w:tc>
              <w:tc>
                <w:tcPr>
                  <w:tcW w:w="1264" w:type="dxa"/>
                  <w:shd w:val="clear" w:color="auto" w:fill="auto"/>
                  <w:vAlign w:val="center"/>
                </w:tcPr>
                <w:p w14:paraId="0B3AAA25"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100.0 ± 0.0 aD</w:t>
                  </w:r>
                </w:p>
              </w:tc>
              <w:tc>
                <w:tcPr>
                  <w:tcW w:w="1132" w:type="dxa"/>
                  <w:shd w:val="clear" w:color="auto" w:fill="auto"/>
                  <w:vAlign w:val="center"/>
                </w:tcPr>
                <w:p w14:paraId="649E1718" w14:textId="77777777" w:rsidR="00617493" w:rsidRDefault="00000000" w:rsidP="00913F02">
                  <w:pPr>
                    <w:autoSpaceDE w:val="0"/>
                    <w:autoSpaceDN w:val="0"/>
                    <w:adjustRightInd w:val="0"/>
                    <w:snapToGrid w:val="0"/>
                    <w:spacing w:beforeLines="30" w:before="72" w:line="300" w:lineRule="auto"/>
                    <w:jc w:val="center"/>
                    <w:rPr>
                      <w:rFonts w:ascii="Arial" w:hAnsi="Arial" w:cs="Arial"/>
                      <w:bCs/>
                      <w:color w:val="000000" w:themeColor="text1"/>
                      <w:sz w:val="18"/>
                      <w:szCs w:val="18"/>
                    </w:rPr>
                  </w:pPr>
                  <w:r>
                    <w:rPr>
                      <w:rFonts w:ascii="Arial" w:hAnsi="Arial" w:cs="Arial"/>
                      <w:bCs/>
                      <w:color w:val="000000" w:themeColor="text1"/>
                      <w:sz w:val="18"/>
                      <w:szCs w:val="18"/>
                    </w:rPr>
                    <w:t>94.0 ± 7.9 b</w:t>
                  </w:r>
                </w:p>
              </w:tc>
              <w:tc>
                <w:tcPr>
                  <w:tcW w:w="1132" w:type="dxa"/>
                  <w:vMerge/>
                  <w:shd w:val="clear" w:color="auto" w:fill="auto"/>
                  <w:vAlign w:val="center"/>
                </w:tcPr>
                <w:p w14:paraId="1FE8E2C4" w14:textId="77777777" w:rsidR="00617493" w:rsidRDefault="00617493">
                  <w:pPr>
                    <w:autoSpaceDE w:val="0"/>
                    <w:autoSpaceDN w:val="0"/>
                    <w:adjustRightInd w:val="0"/>
                    <w:snapToGrid w:val="0"/>
                    <w:jc w:val="center"/>
                    <w:rPr>
                      <w:rFonts w:ascii="Arial" w:hAnsi="Arial" w:cs="Arial"/>
                      <w:bCs/>
                      <w:color w:val="000000" w:themeColor="text1"/>
                      <w:sz w:val="18"/>
                      <w:szCs w:val="18"/>
                    </w:rPr>
                  </w:pPr>
                </w:p>
              </w:tc>
            </w:tr>
            <w:tr w:rsidR="00617493" w14:paraId="09EF7BF9" w14:textId="77777777">
              <w:trPr>
                <w:trHeight w:val="180"/>
              </w:trPr>
              <w:tc>
                <w:tcPr>
                  <w:tcW w:w="1069" w:type="dxa"/>
                  <w:vMerge/>
                  <w:shd w:val="clear" w:color="auto" w:fill="auto"/>
                  <w:vAlign w:val="center"/>
                </w:tcPr>
                <w:p w14:paraId="53E89435" w14:textId="77777777" w:rsidR="00617493" w:rsidRDefault="00617493"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p>
              </w:tc>
              <w:tc>
                <w:tcPr>
                  <w:tcW w:w="1069" w:type="dxa"/>
                  <w:shd w:val="clear" w:color="auto" w:fill="auto"/>
                  <w:vAlign w:val="center"/>
                </w:tcPr>
                <w:p w14:paraId="1C8AA0C7"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600</w:t>
                  </w:r>
                </w:p>
              </w:tc>
              <w:tc>
                <w:tcPr>
                  <w:tcW w:w="1070" w:type="dxa"/>
                  <w:shd w:val="clear" w:color="auto" w:fill="auto"/>
                  <w:vAlign w:val="center"/>
                </w:tcPr>
                <w:p w14:paraId="0D46BEE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1016</w:t>
                  </w:r>
                </w:p>
              </w:tc>
              <w:tc>
                <w:tcPr>
                  <w:tcW w:w="1264" w:type="dxa"/>
                  <w:shd w:val="clear" w:color="auto" w:fill="auto"/>
                  <w:vAlign w:val="center"/>
                </w:tcPr>
                <w:p w14:paraId="6E153CE9"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90.0 ± 2.2 aF</w:t>
                  </w:r>
                </w:p>
              </w:tc>
              <w:tc>
                <w:tcPr>
                  <w:tcW w:w="1198" w:type="dxa"/>
                  <w:shd w:val="clear" w:color="auto" w:fill="auto"/>
                  <w:vAlign w:val="center"/>
                </w:tcPr>
                <w:p w14:paraId="3FCEB6EC"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99.7 ± 0.4 aE</w:t>
                  </w:r>
                </w:p>
              </w:tc>
              <w:tc>
                <w:tcPr>
                  <w:tcW w:w="1264" w:type="dxa"/>
                  <w:shd w:val="clear" w:color="auto" w:fill="auto"/>
                  <w:vAlign w:val="center"/>
                </w:tcPr>
                <w:p w14:paraId="784C545F"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100.0 ± 0.0 aD</w:t>
                  </w:r>
                </w:p>
              </w:tc>
              <w:tc>
                <w:tcPr>
                  <w:tcW w:w="1132" w:type="dxa"/>
                  <w:shd w:val="clear" w:color="auto" w:fill="auto"/>
                  <w:vAlign w:val="center"/>
                </w:tcPr>
                <w:p w14:paraId="234DBC25"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96.6 ± 5.1 a</w:t>
                  </w:r>
                </w:p>
              </w:tc>
              <w:tc>
                <w:tcPr>
                  <w:tcW w:w="1132" w:type="dxa"/>
                  <w:vMerge/>
                  <w:shd w:val="clear" w:color="auto" w:fill="auto"/>
                  <w:vAlign w:val="center"/>
                </w:tcPr>
                <w:p w14:paraId="7837A630"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bookmarkEnd w:id="8"/>
            <w:tr w:rsidR="00617493" w14:paraId="69C69E34" w14:textId="77777777">
              <w:trPr>
                <w:trHeight w:val="180"/>
              </w:trPr>
              <w:tc>
                <w:tcPr>
                  <w:tcW w:w="1069" w:type="dxa"/>
                  <w:vMerge w:val="restart"/>
                  <w:shd w:val="clear" w:color="auto" w:fill="auto"/>
                  <w:vAlign w:val="center"/>
                </w:tcPr>
                <w:p w14:paraId="4373AEBD"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Middle-aged larvae</w:t>
                  </w:r>
                </w:p>
              </w:tc>
              <w:tc>
                <w:tcPr>
                  <w:tcW w:w="1069" w:type="dxa"/>
                  <w:shd w:val="clear" w:color="auto" w:fill="auto"/>
                  <w:vAlign w:val="center"/>
                </w:tcPr>
                <w:p w14:paraId="480353BD"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200</w:t>
                  </w:r>
                </w:p>
              </w:tc>
              <w:tc>
                <w:tcPr>
                  <w:tcW w:w="1070" w:type="dxa"/>
                  <w:shd w:val="clear" w:color="auto" w:fill="auto"/>
                  <w:vAlign w:val="center"/>
                </w:tcPr>
                <w:p w14:paraId="42B053A6"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1634</w:t>
                  </w:r>
                </w:p>
              </w:tc>
              <w:tc>
                <w:tcPr>
                  <w:tcW w:w="1264" w:type="dxa"/>
                  <w:shd w:val="clear" w:color="auto" w:fill="auto"/>
                  <w:vAlign w:val="center"/>
                </w:tcPr>
                <w:p w14:paraId="0185E6EB"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51.8 ± 2.2 cF</w:t>
                  </w:r>
                </w:p>
              </w:tc>
              <w:tc>
                <w:tcPr>
                  <w:tcW w:w="1198" w:type="dxa"/>
                  <w:shd w:val="clear" w:color="auto" w:fill="auto"/>
                  <w:vAlign w:val="center"/>
                </w:tcPr>
                <w:p w14:paraId="08F87029"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94.1 ± 0.5 bE</w:t>
                  </w:r>
                </w:p>
              </w:tc>
              <w:tc>
                <w:tcPr>
                  <w:tcW w:w="1264" w:type="dxa"/>
                  <w:shd w:val="clear" w:color="auto" w:fill="auto"/>
                  <w:vAlign w:val="center"/>
                </w:tcPr>
                <w:p w14:paraId="3DF37D82"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100.0 ± 0.0 aD</w:t>
                  </w:r>
                </w:p>
              </w:tc>
              <w:tc>
                <w:tcPr>
                  <w:tcW w:w="1132" w:type="dxa"/>
                  <w:shd w:val="clear" w:color="auto" w:fill="auto"/>
                  <w:vAlign w:val="center"/>
                </w:tcPr>
                <w:p w14:paraId="4122B47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82.0 ± 22.8 c</w:t>
                  </w:r>
                </w:p>
              </w:tc>
              <w:tc>
                <w:tcPr>
                  <w:tcW w:w="1132" w:type="dxa"/>
                  <w:vMerge w:val="restart"/>
                  <w:shd w:val="clear" w:color="auto" w:fill="auto"/>
                  <w:vAlign w:val="center"/>
                </w:tcPr>
                <w:p w14:paraId="6B710480"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87.3 ± 17.4 b</w:t>
                  </w:r>
                </w:p>
              </w:tc>
            </w:tr>
            <w:tr w:rsidR="00617493" w14:paraId="150A6858" w14:textId="77777777">
              <w:trPr>
                <w:trHeight w:val="180"/>
              </w:trPr>
              <w:tc>
                <w:tcPr>
                  <w:tcW w:w="1069" w:type="dxa"/>
                  <w:vMerge/>
                  <w:shd w:val="clear" w:color="auto" w:fill="auto"/>
                  <w:vAlign w:val="center"/>
                </w:tcPr>
                <w:p w14:paraId="03B02CE7" w14:textId="77777777" w:rsidR="00617493" w:rsidRDefault="00617493"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p>
              </w:tc>
              <w:tc>
                <w:tcPr>
                  <w:tcW w:w="1069" w:type="dxa"/>
                  <w:shd w:val="clear" w:color="auto" w:fill="auto"/>
                  <w:vAlign w:val="center"/>
                </w:tcPr>
                <w:p w14:paraId="18B73EA3"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400</w:t>
                  </w:r>
                </w:p>
              </w:tc>
              <w:tc>
                <w:tcPr>
                  <w:tcW w:w="1070" w:type="dxa"/>
                  <w:shd w:val="clear" w:color="auto" w:fill="auto"/>
                  <w:vAlign w:val="center"/>
                </w:tcPr>
                <w:p w14:paraId="48EAA6D7"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1571</w:t>
                  </w:r>
                </w:p>
              </w:tc>
              <w:tc>
                <w:tcPr>
                  <w:tcW w:w="1264" w:type="dxa"/>
                  <w:shd w:val="clear" w:color="auto" w:fill="auto"/>
                  <w:vAlign w:val="center"/>
                </w:tcPr>
                <w:p w14:paraId="6D0F65B6"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64.9 ± 0.7 bF</w:t>
                  </w:r>
                </w:p>
              </w:tc>
              <w:tc>
                <w:tcPr>
                  <w:tcW w:w="1198" w:type="dxa"/>
                  <w:shd w:val="clear" w:color="auto" w:fill="auto"/>
                  <w:vAlign w:val="center"/>
                </w:tcPr>
                <w:p w14:paraId="02BDEEA2"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96.8 ± 0.5a bE</w:t>
                  </w:r>
                </w:p>
              </w:tc>
              <w:tc>
                <w:tcPr>
                  <w:tcW w:w="1264" w:type="dxa"/>
                  <w:shd w:val="clear" w:color="auto" w:fill="auto"/>
                  <w:vAlign w:val="center"/>
                </w:tcPr>
                <w:p w14:paraId="4B78658A"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100.0 ± 0.0 aD</w:t>
                  </w:r>
                </w:p>
              </w:tc>
              <w:tc>
                <w:tcPr>
                  <w:tcW w:w="1132" w:type="dxa"/>
                  <w:shd w:val="clear" w:color="auto" w:fill="auto"/>
                  <w:vAlign w:val="center"/>
                </w:tcPr>
                <w:p w14:paraId="64DC2AD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87.2 ± 16.8 b</w:t>
                  </w:r>
                </w:p>
              </w:tc>
              <w:tc>
                <w:tcPr>
                  <w:tcW w:w="1132" w:type="dxa"/>
                  <w:vMerge/>
                  <w:shd w:val="clear" w:color="auto" w:fill="auto"/>
                  <w:vAlign w:val="center"/>
                </w:tcPr>
                <w:p w14:paraId="6D634992"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tr w:rsidR="00617493" w14:paraId="09CA6402" w14:textId="77777777">
              <w:trPr>
                <w:trHeight w:val="180"/>
              </w:trPr>
              <w:tc>
                <w:tcPr>
                  <w:tcW w:w="1069" w:type="dxa"/>
                  <w:vMerge/>
                  <w:shd w:val="clear" w:color="auto" w:fill="auto"/>
                  <w:vAlign w:val="center"/>
                </w:tcPr>
                <w:p w14:paraId="4B51A6A6" w14:textId="77777777" w:rsidR="00617493" w:rsidRDefault="00617493"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p>
              </w:tc>
              <w:tc>
                <w:tcPr>
                  <w:tcW w:w="1069" w:type="dxa"/>
                  <w:shd w:val="clear" w:color="auto" w:fill="auto"/>
                  <w:vAlign w:val="center"/>
                </w:tcPr>
                <w:p w14:paraId="16730E5E"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600</w:t>
                  </w:r>
                </w:p>
              </w:tc>
              <w:tc>
                <w:tcPr>
                  <w:tcW w:w="1070" w:type="dxa"/>
                  <w:shd w:val="clear" w:color="auto" w:fill="auto"/>
                  <w:vAlign w:val="center"/>
                </w:tcPr>
                <w:p w14:paraId="56FADA61"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1598</w:t>
                  </w:r>
                </w:p>
              </w:tc>
              <w:tc>
                <w:tcPr>
                  <w:tcW w:w="1264" w:type="dxa"/>
                  <w:shd w:val="clear" w:color="auto" w:fill="auto"/>
                  <w:vAlign w:val="center"/>
                </w:tcPr>
                <w:p w14:paraId="709897D9"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78.2 ± 1.7 aF</w:t>
                  </w:r>
                </w:p>
              </w:tc>
              <w:tc>
                <w:tcPr>
                  <w:tcW w:w="1198" w:type="dxa"/>
                  <w:shd w:val="clear" w:color="auto" w:fill="auto"/>
                  <w:vAlign w:val="center"/>
                </w:tcPr>
                <w:p w14:paraId="29064D27"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99.8 ± 0.2 aE</w:t>
                  </w:r>
                </w:p>
              </w:tc>
              <w:tc>
                <w:tcPr>
                  <w:tcW w:w="1264" w:type="dxa"/>
                  <w:shd w:val="clear" w:color="auto" w:fill="auto"/>
                  <w:vAlign w:val="center"/>
                </w:tcPr>
                <w:p w14:paraId="71CAAB9B"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100.0 ± 0.0 aD</w:t>
                  </w:r>
                </w:p>
              </w:tc>
              <w:tc>
                <w:tcPr>
                  <w:tcW w:w="1132" w:type="dxa"/>
                  <w:shd w:val="clear" w:color="auto" w:fill="auto"/>
                  <w:vAlign w:val="center"/>
                </w:tcPr>
                <w:p w14:paraId="07263C5E"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92.7 ± 10.9 a</w:t>
                  </w:r>
                </w:p>
              </w:tc>
              <w:tc>
                <w:tcPr>
                  <w:tcW w:w="1132" w:type="dxa"/>
                  <w:vMerge/>
                  <w:shd w:val="clear" w:color="auto" w:fill="auto"/>
                  <w:vAlign w:val="center"/>
                </w:tcPr>
                <w:p w14:paraId="60E69AB8"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tr w:rsidR="00617493" w14:paraId="1F2D7E16" w14:textId="77777777">
              <w:trPr>
                <w:trHeight w:val="180"/>
              </w:trPr>
              <w:tc>
                <w:tcPr>
                  <w:tcW w:w="1069" w:type="dxa"/>
                  <w:vMerge w:val="restart"/>
                  <w:shd w:val="clear" w:color="auto" w:fill="auto"/>
                  <w:vAlign w:val="center"/>
                </w:tcPr>
                <w:p w14:paraId="346B4811"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Late-aged larvae</w:t>
                  </w:r>
                </w:p>
              </w:tc>
              <w:tc>
                <w:tcPr>
                  <w:tcW w:w="1069" w:type="dxa"/>
                  <w:shd w:val="clear" w:color="auto" w:fill="auto"/>
                  <w:vAlign w:val="center"/>
                </w:tcPr>
                <w:p w14:paraId="12B87584"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200</w:t>
                  </w:r>
                </w:p>
              </w:tc>
              <w:tc>
                <w:tcPr>
                  <w:tcW w:w="1070" w:type="dxa"/>
                  <w:shd w:val="clear" w:color="auto" w:fill="auto"/>
                  <w:vAlign w:val="center"/>
                </w:tcPr>
                <w:p w14:paraId="49810B6A"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1822</w:t>
                  </w:r>
                </w:p>
              </w:tc>
              <w:tc>
                <w:tcPr>
                  <w:tcW w:w="1264" w:type="dxa"/>
                  <w:shd w:val="clear" w:color="auto" w:fill="auto"/>
                  <w:vAlign w:val="center"/>
                </w:tcPr>
                <w:p w14:paraId="769FBFC4"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39.8 ± 0.4 cF</w:t>
                  </w:r>
                </w:p>
              </w:tc>
              <w:tc>
                <w:tcPr>
                  <w:tcW w:w="1198" w:type="dxa"/>
                  <w:shd w:val="clear" w:color="auto" w:fill="auto"/>
                  <w:vAlign w:val="center"/>
                </w:tcPr>
                <w:p w14:paraId="698CAF5F"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77.1 ± 1.3 cE</w:t>
                  </w:r>
                </w:p>
              </w:tc>
              <w:tc>
                <w:tcPr>
                  <w:tcW w:w="1264" w:type="dxa"/>
                  <w:shd w:val="clear" w:color="auto" w:fill="auto"/>
                  <w:vAlign w:val="center"/>
                </w:tcPr>
                <w:p w14:paraId="5530C26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90.7 ± 0.4 cD</w:t>
                  </w:r>
                </w:p>
              </w:tc>
              <w:tc>
                <w:tcPr>
                  <w:tcW w:w="1132" w:type="dxa"/>
                  <w:shd w:val="clear" w:color="auto" w:fill="auto"/>
                  <w:vAlign w:val="center"/>
                </w:tcPr>
                <w:p w14:paraId="4A9DC82C"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69.2 ± 22.8 c</w:t>
                  </w:r>
                </w:p>
              </w:tc>
              <w:tc>
                <w:tcPr>
                  <w:tcW w:w="1132" w:type="dxa"/>
                  <w:vMerge w:val="restart"/>
                  <w:shd w:val="clear" w:color="auto" w:fill="auto"/>
                  <w:vAlign w:val="center"/>
                </w:tcPr>
                <w:p w14:paraId="22151E06" w14:textId="77777777" w:rsidR="00617493" w:rsidRDefault="00000000">
                  <w:pPr>
                    <w:autoSpaceDE w:val="0"/>
                    <w:autoSpaceDN w:val="0"/>
                    <w:adjustRightInd w:val="0"/>
                    <w:snapToGrid w:val="0"/>
                    <w:jc w:val="center"/>
                    <w:rPr>
                      <w:rFonts w:ascii="Arial" w:hAnsi="Arial" w:cs="Arial"/>
                      <w:color w:val="000000" w:themeColor="text1"/>
                      <w:sz w:val="18"/>
                      <w:szCs w:val="18"/>
                    </w:rPr>
                  </w:pPr>
                  <w:r>
                    <w:rPr>
                      <w:rFonts w:ascii="Arial" w:hAnsi="Arial" w:cs="Arial"/>
                      <w:color w:val="000000" w:themeColor="text1"/>
                      <w:sz w:val="18"/>
                      <w:szCs w:val="18"/>
                    </w:rPr>
                    <w:t>77.4 ± 20.6 c</w:t>
                  </w:r>
                </w:p>
              </w:tc>
            </w:tr>
            <w:tr w:rsidR="00617493" w14:paraId="1C51A3BA" w14:textId="77777777">
              <w:trPr>
                <w:trHeight w:val="180"/>
              </w:trPr>
              <w:tc>
                <w:tcPr>
                  <w:tcW w:w="1069" w:type="dxa"/>
                  <w:vMerge/>
                  <w:shd w:val="clear" w:color="auto" w:fill="auto"/>
                  <w:vAlign w:val="center"/>
                </w:tcPr>
                <w:p w14:paraId="2F4AC46C" w14:textId="77777777" w:rsidR="00617493" w:rsidRDefault="00617493"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p>
              </w:tc>
              <w:tc>
                <w:tcPr>
                  <w:tcW w:w="1069" w:type="dxa"/>
                  <w:shd w:val="clear" w:color="auto" w:fill="auto"/>
                  <w:vAlign w:val="center"/>
                </w:tcPr>
                <w:p w14:paraId="625E2013"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400</w:t>
                  </w:r>
                </w:p>
              </w:tc>
              <w:tc>
                <w:tcPr>
                  <w:tcW w:w="1070" w:type="dxa"/>
                  <w:shd w:val="clear" w:color="auto" w:fill="auto"/>
                  <w:vAlign w:val="center"/>
                </w:tcPr>
                <w:p w14:paraId="5001659F"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1718</w:t>
                  </w:r>
                </w:p>
              </w:tc>
              <w:tc>
                <w:tcPr>
                  <w:tcW w:w="1264" w:type="dxa"/>
                  <w:shd w:val="clear" w:color="auto" w:fill="auto"/>
                  <w:vAlign w:val="center"/>
                </w:tcPr>
                <w:p w14:paraId="60A4741A"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51.6 ± 0.6 bF</w:t>
                  </w:r>
                </w:p>
              </w:tc>
              <w:tc>
                <w:tcPr>
                  <w:tcW w:w="1198" w:type="dxa"/>
                  <w:shd w:val="clear" w:color="auto" w:fill="auto"/>
                  <w:vAlign w:val="center"/>
                </w:tcPr>
                <w:p w14:paraId="20070681"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85.9 ± 1.3 bE</w:t>
                  </w:r>
                </w:p>
              </w:tc>
              <w:tc>
                <w:tcPr>
                  <w:tcW w:w="1264" w:type="dxa"/>
                  <w:shd w:val="clear" w:color="auto" w:fill="auto"/>
                  <w:vAlign w:val="center"/>
                </w:tcPr>
                <w:p w14:paraId="48913C68"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95.9 ± 0.7 bD</w:t>
                  </w:r>
                </w:p>
              </w:tc>
              <w:tc>
                <w:tcPr>
                  <w:tcW w:w="1132" w:type="dxa"/>
                  <w:shd w:val="clear" w:color="auto" w:fill="auto"/>
                  <w:vAlign w:val="center"/>
                </w:tcPr>
                <w:p w14:paraId="06C74ECE"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77.8 ± 20.1 b</w:t>
                  </w:r>
                </w:p>
              </w:tc>
              <w:tc>
                <w:tcPr>
                  <w:tcW w:w="1132" w:type="dxa"/>
                  <w:vMerge/>
                  <w:shd w:val="clear" w:color="auto" w:fill="auto"/>
                  <w:vAlign w:val="center"/>
                </w:tcPr>
                <w:p w14:paraId="2726F354"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tr w:rsidR="00617493" w14:paraId="52072C08" w14:textId="77777777">
              <w:trPr>
                <w:trHeight w:val="188"/>
              </w:trPr>
              <w:tc>
                <w:tcPr>
                  <w:tcW w:w="1069" w:type="dxa"/>
                  <w:vMerge/>
                  <w:shd w:val="clear" w:color="auto" w:fill="auto"/>
                  <w:vAlign w:val="center"/>
                </w:tcPr>
                <w:p w14:paraId="0302D19E" w14:textId="77777777" w:rsidR="00617493" w:rsidRDefault="00617493"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p>
              </w:tc>
              <w:tc>
                <w:tcPr>
                  <w:tcW w:w="1069" w:type="dxa"/>
                  <w:shd w:val="clear" w:color="auto" w:fill="auto"/>
                  <w:vAlign w:val="center"/>
                </w:tcPr>
                <w:p w14:paraId="1E3052F9"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600</w:t>
                  </w:r>
                </w:p>
              </w:tc>
              <w:tc>
                <w:tcPr>
                  <w:tcW w:w="1070" w:type="dxa"/>
                  <w:shd w:val="clear" w:color="auto" w:fill="auto"/>
                  <w:vAlign w:val="center"/>
                </w:tcPr>
                <w:p w14:paraId="3EEBD341"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1709</w:t>
                  </w:r>
                </w:p>
              </w:tc>
              <w:tc>
                <w:tcPr>
                  <w:tcW w:w="1264" w:type="dxa"/>
                  <w:shd w:val="clear" w:color="auto" w:fill="auto"/>
                  <w:vAlign w:val="center"/>
                </w:tcPr>
                <w:p w14:paraId="7814495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62.3 ± 1.4 aF</w:t>
                  </w:r>
                </w:p>
              </w:tc>
              <w:tc>
                <w:tcPr>
                  <w:tcW w:w="1198" w:type="dxa"/>
                  <w:shd w:val="clear" w:color="auto" w:fill="auto"/>
                  <w:vAlign w:val="center"/>
                </w:tcPr>
                <w:p w14:paraId="3D4D8710"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94.0 ± 0.9 aE</w:t>
                  </w:r>
                </w:p>
              </w:tc>
              <w:tc>
                <w:tcPr>
                  <w:tcW w:w="1264" w:type="dxa"/>
                  <w:shd w:val="clear" w:color="auto" w:fill="auto"/>
                  <w:vAlign w:val="center"/>
                </w:tcPr>
                <w:p w14:paraId="6243342C"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99.3 ± 0.5 aD</w:t>
                  </w:r>
                </w:p>
              </w:tc>
              <w:tc>
                <w:tcPr>
                  <w:tcW w:w="1132" w:type="dxa"/>
                  <w:shd w:val="clear" w:color="auto" w:fill="auto"/>
                  <w:vAlign w:val="center"/>
                </w:tcPr>
                <w:p w14:paraId="47356123" w14:textId="77777777" w:rsidR="00617493" w:rsidRDefault="00000000" w:rsidP="00913F02">
                  <w:pPr>
                    <w:autoSpaceDE w:val="0"/>
                    <w:autoSpaceDN w:val="0"/>
                    <w:adjustRightInd w:val="0"/>
                    <w:snapToGrid w:val="0"/>
                    <w:spacing w:beforeLines="30" w:before="72" w:line="300" w:lineRule="auto"/>
                    <w:jc w:val="center"/>
                    <w:rPr>
                      <w:rFonts w:ascii="Arial" w:hAnsi="Arial" w:cs="Arial"/>
                      <w:color w:val="000000" w:themeColor="text1"/>
                      <w:sz w:val="18"/>
                      <w:szCs w:val="18"/>
                    </w:rPr>
                  </w:pPr>
                  <w:r>
                    <w:rPr>
                      <w:rFonts w:ascii="Arial" w:hAnsi="Arial" w:cs="Arial"/>
                      <w:color w:val="000000" w:themeColor="text1"/>
                      <w:sz w:val="18"/>
                      <w:szCs w:val="18"/>
                    </w:rPr>
                    <w:t>85.2 ± 17.4 a</w:t>
                  </w:r>
                </w:p>
              </w:tc>
              <w:tc>
                <w:tcPr>
                  <w:tcW w:w="1132" w:type="dxa"/>
                  <w:vMerge/>
                  <w:shd w:val="clear" w:color="auto" w:fill="auto"/>
                  <w:vAlign w:val="center"/>
                </w:tcPr>
                <w:p w14:paraId="65DC5DCB" w14:textId="77777777" w:rsidR="00617493" w:rsidRDefault="00617493">
                  <w:pPr>
                    <w:autoSpaceDE w:val="0"/>
                    <w:autoSpaceDN w:val="0"/>
                    <w:adjustRightInd w:val="0"/>
                    <w:snapToGrid w:val="0"/>
                    <w:jc w:val="center"/>
                    <w:rPr>
                      <w:rFonts w:ascii="Arial" w:hAnsi="Arial" w:cs="Arial"/>
                      <w:color w:val="000000" w:themeColor="text1"/>
                      <w:sz w:val="18"/>
                      <w:szCs w:val="18"/>
                    </w:rPr>
                  </w:pPr>
                </w:p>
              </w:tc>
            </w:tr>
          </w:tbl>
          <w:p w14:paraId="78310F56" w14:textId="77777777" w:rsidR="00617493" w:rsidRDefault="00000000">
            <w:pPr>
              <w:pStyle w:val="MDPI41tablecaption"/>
              <w:ind w:left="425" w:right="425"/>
              <w:jc w:val="center"/>
              <w:rPr>
                <w:rFonts w:ascii="Arial" w:hAnsi="Arial" w:cs="Arial"/>
                <w:szCs w:val="18"/>
              </w:rPr>
            </w:pPr>
            <w:r>
              <w:rPr>
                <w:b/>
              </w:rPr>
              <w:t xml:space="preserve">Table 2. </w:t>
            </w:r>
            <w:r>
              <w:rPr>
                <w:rFonts w:ascii="Arial" w:hAnsi="Arial" w:cs="Arial"/>
                <w:szCs w:val="18"/>
              </w:rPr>
              <w:t xml:space="preserve">Mortality of </w:t>
            </w:r>
            <w:r>
              <w:rPr>
                <w:rFonts w:ascii="Arial" w:hAnsi="Arial" w:cs="Arial"/>
                <w:i/>
                <w:iCs/>
                <w:snapToGrid w:val="0"/>
                <w:szCs w:val="18"/>
              </w:rPr>
              <w:t>T.</w:t>
            </w:r>
            <w:r>
              <w:rPr>
                <w:rFonts w:ascii="Arial" w:hAnsi="Arial" w:cs="Arial"/>
                <w:snapToGrid w:val="0"/>
                <w:szCs w:val="18"/>
              </w:rPr>
              <w:t xml:space="preserve"> </w:t>
            </w:r>
            <w:r>
              <w:rPr>
                <w:rFonts w:ascii="Arial" w:hAnsi="Arial" w:cs="Arial"/>
                <w:i/>
                <w:iCs/>
                <w:szCs w:val="18"/>
              </w:rPr>
              <w:t>granarium</w:t>
            </w:r>
            <w:r>
              <w:rPr>
                <w:rFonts w:ascii="Arial" w:hAnsi="Arial" w:cs="Arial"/>
                <w:szCs w:val="18"/>
              </w:rPr>
              <w:t xml:space="preserve"> adult and larvae treated at 24–26 ℃ under 1% O</w:t>
            </w:r>
            <w:r>
              <w:rPr>
                <w:rFonts w:ascii="Arial" w:hAnsi="Arial" w:cs="Arial"/>
                <w:szCs w:val="18"/>
                <w:vertAlign w:val="subscript"/>
              </w:rPr>
              <w:t>2</w:t>
            </w:r>
            <w:r>
              <w:rPr>
                <w:rFonts w:ascii="Arial" w:hAnsi="Arial" w:cs="Arial"/>
                <w:szCs w:val="18"/>
              </w:rPr>
              <w:t xml:space="preserve"> atmosphere for the exposure times of 3, 6, and 9-d after 200, 400, and 600 Gy X-rays irradiation.</w:t>
            </w:r>
          </w:p>
          <w:p w14:paraId="0D264DAE" w14:textId="77777777" w:rsidR="00617493" w:rsidRDefault="00000000" w:rsidP="00913F02">
            <w:pPr>
              <w:pStyle w:val="MDPI43tablefooter"/>
              <w:spacing w:beforeLines="50" w:before="120" w:line="240" w:lineRule="auto"/>
              <w:ind w:left="425" w:right="425"/>
              <w:jc w:val="both"/>
              <w:rPr>
                <w:rFonts w:ascii="Arial" w:hAnsi="Arial" w:cs="Arial"/>
                <w:szCs w:val="18"/>
              </w:rPr>
            </w:pPr>
            <w:bookmarkStart w:id="9" w:name="_Hlk66225419"/>
            <w:r>
              <w:rPr>
                <w:rFonts w:ascii="Arial" w:hAnsi="Arial" w:cs="Arial"/>
                <w:szCs w:val="18"/>
              </w:rPr>
              <w:t>Within each column, means followed with different lowercase letters within a stage are significantly difference (</w:t>
            </w:r>
            <w:r>
              <w:rPr>
                <w:rFonts w:ascii="Arial" w:hAnsi="Arial" w:cs="Arial"/>
                <w:i/>
                <w:iCs/>
                <w:szCs w:val="18"/>
              </w:rPr>
              <w:t xml:space="preserve">p </w:t>
            </w:r>
            <w:r>
              <w:rPr>
                <w:rFonts w:ascii="Arial" w:hAnsi="Arial" w:cs="Arial"/>
                <w:szCs w:val="18"/>
              </w:rPr>
              <w:t>˂ 0.05; Tukey test); means followed by differen</w:t>
            </w:r>
            <w:r>
              <w:rPr>
                <w:rFonts w:ascii="Arial" w:hAnsi="Arial" w:cs="Arial"/>
                <w:color w:val="000000" w:themeColor="text1"/>
                <w:szCs w:val="18"/>
              </w:rPr>
              <w:t xml:space="preserve">t capital letters in </w:t>
            </w:r>
            <w:r>
              <w:rPr>
                <w:rFonts w:ascii="Arial" w:hAnsi="Arial" w:cs="Arial"/>
                <w:szCs w:val="18"/>
              </w:rPr>
              <w:t>the same row are significantly different (</w:t>
            </w:r>
            <w:r>
              <w:rPr>
                <w:rFonts w:ascii="Arial" w:hAnsi="Arial" w:cs="Arial"/>
                <w:i/>
                <w:iCs/>
                <w:szCs w:val="18"/>
              </w:rPr>
              <w:t>p</w:t>
            </w:r>
            <w:r>
              <w:rPr>
                <w:rFonts w:ascii="Arial" w:hAnsi="Arial" w:cs="Arial"/>
                <w:szCs w:val="18"/>
              </w:rPr>
              <w:t xml:space="preserve"> &lt; 0.05, Tukey test).</w:t>
            </w:r>
          </w:p>
          <w:p w14:paraId="117ED45F" w14:textId="77777777" w:rsidR="00617493" w:rsidRDefault="00617493">
            <w:pPr>
              <w:pStyle w:val="MDPI31text"/>
            </w:pPr>
          </w:p>
          <w:bookmarkEnd w:id="9"/>
          <w:p w14:paraId="49A5F0EA" w14:textId="77777777" w:rsidR="00617493" w:rsidRDefault="00000000">
            <w:pPr>
              <w:rPr>
                <w:rFonts w:ascii="Arial" w:hAnsi="Arial" w:cs="Arial"/>
                <w:sz w:val="18"/>
                <w:szCs w:val="18"/>
                <w:lang w:val="en-US" w:eastAsia="zh-CN"/>
              </w:rPr>
            </w:pPr>
            <w:r>
              <w:rPr>
                <w:rFonts w:ascii="Arial" w:hAnsi="Arial" w:cs="Arial"/>
                <w:b/>
                <w:bCs/>
                <w:sz w:val="18"/>
                <w:szCs w:val="18"/>
                <w:lang w:val="en-US" w:eastAsia="zh-CN"/>
              </w:rPr>
              <w:t>Dose-response test of MA alone or in combination with X-ray treatment of late-aged larvae</w:t>
            </w:r>
            <w:r>
              <w:rPr>
                <w:rFonts w:ascii="Arial" w:hAnsi="Arial" w:cs="Arial" w:hint="eastAsia"/>
                <w:b/>
                <w:bCs/>
                <w:sz w:val="18"/>
                <w:szCs w:val="18"/>
                <w:lang w:val="en-US" w:eastAsia="zh-CN"/>
              </w:rPr>
              <w:t xml:space="preserve">: </w:t>
            </w:r>
            <w:r>
              <w:rPr>
                <w:rFonts w:ascii="Arial" w:hAnsi="Arial" w:cs="Arial" w:hint="eastAsia"/>
                <w:sz w:val="18"/>
                <w:szCs w:val="18"/>
                <w:lang w:val="en-US" w:eastAsia="zh-CN"/>
              </w:rPr>
              <w:t xml:space="preserve">for middle-aged larvae of </w:t>
            </w:r>
            <w:r>
              <w:rPr>
                <w:rFonts w:ascii="Arial" w:hAnsi="Arial" w:cs="Arial" w:hint="eastAsia"/>
                <w:i/>
                <w:iCs/>
                <w:sz w:val="18"/>
                <w:szCs w:val="18"/>
                <w:lang w:val="en-US" w:eastAsia="zh-CN"/>
              </w:rPr>
              <w:t>T. granarium</w:t>
            </w:r>
            <w:r>
              <w:rPr>
                <w:rFonts w:ascii="Arial" w:hAnsi="Arial" w:cs="Arial" w:hint="eastAsia"/>
                <w:sz w:val="18"/>
                <w:szCs w:val="18"/>
                <w:lang w:val="en-US" w:eastAsia="zh-CN"/>
              </w:rPr>
              <w:t>, the positive slope in all treatments was larger than that for late-aged instars, as a result, the estimated mean values were less than that for late-aged instars; in addition, both of the lethal dose ratios test and 95% CIs overlap tests indicated that the difference is significant (Table 3); therefore, late-aged larvae are significantly resistant to MA alone or combination treatment than the middle-aged instars.</w:t>
            </w:r>
          </w:p>
          <w:p w14:paraId="7E1827E2" w14:textId="77777777" w:rsidR="00617493" w:rsidRDefault="00617493">
            <w:pPr>
              <w:rPr>
                <w:rFonts w:ascii="Arial" w:hAnsi="Arial" w:cs="Arial"/>
                <w:sz w:val="18"/>
                <w:szCs w:val="18"/>
                <w:lang w:val="en-US" w:eastAsia="zh-CN"/>
              </w:rPr>
            </w:pPr>
          </w:p>
          <w:p w14:paraId="7FBEF1FF" w14:textId="77777777" w:rsidR="00617493" w:rsidRDefault="00000000">
            <w:pPr>
              <w:jc w:val="center"/>
              <w:rPr>
                <w:rFonts w:ascii="Arial" w:hAnsi="Arial" w:cs="Arial"/>
                <w:sz w:val="18"/>
                <w:szCs w:val="18"/>
                <w:lang w:val="en-US" w:eastAsia="zh-CN"/>
              </w:rPr>
            </w:pPr>
            <w:r>
              <w:rPr>
                <w:rFonts w:ascii="Arial" w:hAnsi="Arial" w:cs="Arial"/>
                <w:sz w:val="18"/>
                <w:szCs w:val="18"/>
                <w:lang w:val="en-US" w:eastAsia="zh-CN"/>
              </w:rPr>
              <w:lastRenderedPageBreak/>
              <w:t xml:space="preserve">Table 3. Estimating the minimum lethal time for middle- and late-aged larvae of </w:t>
            </w:r>
            <w:r>
              <w:rPr>
                <w:rFonts w:ascii="Arial" w:hAnsi="Arial" w:cs="Arial"/>
                <w:i/>
                <w:iCs/>
                <w:sz w:val="18"/>
                <w:szCs w:val="18"/>
                <w:lang w:val="en-US" w:eastAsia="zh-CN"/>
              </w:rPr>
              <w:t>T. granarium</w:t>
            </w:r>
            <w:r>
              <w:rPr>
                <w:rFonts w:ascii="Arial" w:hAnsi="Arial" w:cs="Arial"/>
                <w:sz w:val="18"/>
                <w:szCs w:val="18"/>
                <w:lang w:val="en-US" w:eastAsia="zh-CN"/>
              </w:rPr>
              <w:t xml:space="preserve"> treated at 24–26 ℃ under 1% or 2% O2 atmosphere alone or in combination with 200 Gy X-ray irradiation.</w:t>
            </w:r>
          </w:p>
          <w:p w14:paraId="5B56CF3A" w14:textId="18352267" w:rsidR="00617493" w:rsidRDefault="002D4091">
            <w:pPr>
              <w:rPr>
                <w:rFonts w:ascii="Arial" w:hAnsi="Arial" w:cs="Arial"/>
                <w:sz w:val="18"/>
                <w:szCs w:val="18"/>
                <w:lang w:val="en-US" w:eastAsia="zh-CN"/>
              </w:rPr>
            </w:pPr>
            <w:r>
              <w:rPr>
                <w:rFonts w:ascii="Arial" w:hAnsi="Arial" w:cs="Arial"/>
                <w:sz w:val="18"/>
                <w:szCs w:val="18"/>
                <w:lang w:val="en-US" w:eastAsia="zh-CN"/>
              </w:rPr>
              <w:object w:dxaOrig="10506" w:dyaOrig="3997" w14:anchorId="6936F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32.8pt;height:199.8pt" o:ole="">
                  <v:imagedata r:id="rId15" o:title=""/>
                  <o:lock v:ext="edit" aspectratio="f"/>
                </v:shape>
                <o:OLEObject Type="Embed" ProgID="Word.Document.8" ShapeID="_x0000_i1030" DrawAspect="Content" ObjectID="_1753520548" r:id="rId16"/>
              </w:object>
            </w:r>
          </w:p>
          <w:p w14:paraId="2C58CD32" w14:textId="77777777" w:rsidR="00617493" w:rsidRDefault="00000000">
            <w:pPr>
              <w:spacing w:afterLines="50" w:after="120"/>
              <w:rPr>
                <w:rFonts w:ascii="Arial" w:eastAsia="Times" w:hAnsi="Arial"/>
                <w:sz w:val="18"/>
                <w:szCs w:val="18"/>
              </w:rPr>
            </w:pPr>
            <w:r>
              <w:rPr>
                <w:rFonts w:ascii="Arial" w:eastAsia="宋体" w:hAnsi="Arial" w:hint="eastAsia"/>
                <w:sz w:val="18"/>
                <w:szCs w:val="18"/>
                <w:lang w:val="en-US" w:eastAsia="zh-CN"/>
              </w:rPr>
              <w:t xml:space="preserve">Within a column, estimated value followed by different letter are significantly difference (lethal dose ratio test at p </w:t>
            </w:r>
            <w:r>
              <w:rPr>
                <w:rFonts w:ascii="Arial" w:eastAsia="宋体" w:hAnsi="Arial" w:hint="eastAsia"/>
                <w:sz w:val="18"/>
                <w:szCs w:val="18"/>
                <w:lang w:val="en-US" w:eastAsia="zh-CN"/>
              </w:rPr>
              <w:t>˂</w:t>
            </w:r>
            <w:r>
              <w:rPr>
                <w:rFonts w:ascii="Arial" w:eastAsia="宋体" w:hAnsi="Arial" w:hint="eastAsia"/>
                <w:sz w:val="18"/>
                <w:szCs w:val="18"/>
                <w:lang w:val="en-US" w:eastAsia="zh-CN"/>
              </w:rPr>
              <w:t xml:space="preserve"> 0.05).</w:t>
            </w:r>
          </w:p>
        </w:tc>
      </w:tr>
      <w:tr w:rsidR="00617493" w14:paraId="1C21E285" w14:textId="77777777">
        <w:trPr>
          <w:jc w:val="center"/>
        </w:trPr>
        <w:tc>
          <w:tcPr>
            <w:tcW w:w="0" w:type="auto"/>
            <w:tcBorders>
              <w:bottom w:val="single" w:sz="4" w:space="0" w:color="auto"/>
            </w:tcBorders>
            <w:shd w:val="clear" w:color="auto" w:fill="B7D4FF"/>
          </w:tcPr>
          <w:p w14:paraId="49AA0F83" w14:textId="77777777" w:rsidR="00617493" w:rsidRDefault="00000000">
            <w:pPr>
              <w:rPr>
                <w:rFonts w:ascii="Arial" w:eastAsia="Times" w:hAnsi="Arial"/>
                <w:sz w:val="18"/>
                <w:szCs w:val="18"/>
              </w:rPr>
            </w:pPr>
            <w:r>
              <w:rPr>
                <w:rFonts w:ascii="Arial" w:eastAsia="Times" w:hAnsi="Arial"/>
                <w:bCs/>
                <w:sz w:val="18"/>
                <w:szCs w:val="18"/>
              </w:rPr>
              <w:lastRenderedPageBreak/>
              <w:t>Regulated article information</w:t>
            </w:r>
          </w:p>
        </w:tc>
      </w:tr>
      <w:tr w:rsidR="00617493" w14:paraId="05D632A1" w14:textId="77777777">
        <w:trPr>
          <w:jc w:val="center"/>
        </w:trPr>
        <w:tc>
          <w:tcPr>
            <w:tcW w:w="0" w:type="auto"/>
            <w:shd w:val="clear" w:color="auto" w:fill="D9E8FF"/>
          </w:tcPr>
          <w:p w14:paraId="5AFBB832" w14:textId="77777777" w:rsidR="00617493" w:rsidRDefault="00000000">
            <w:pPr>
              <w:rPr>
                <w:rFonts w:ascii="Arial" w:eastAsia="Times" w:hAnsi="Arial"/>
                <w:sz w:val="18"/>
                <w:szCs w:val="18"/>
              </w:rPr>
            </w:pPr>
            <w:r>
              <w:rPr>
                <w:rFonts w:ascii="Arial" w:eastAsia="Times" w:hAnsi="Arial"/>
                <w:sz w:val="18"/>
                <w:szCs w:val="18"/>
              </w:rPr>
              <w:t xml:space="preserve">Type of regulated article and </w:t>
            </w:r>
            <w:bookmarkStart w:id="10" w:name="OLE_LINK5"/>
            <w:r>
              <w:rPr>
                <w:rFonts w:ascii="Arial" w:eastAsia="Times" w:hAnsi="Arial"/>
                <w:sz w:val="18"/>
                <w:szCs w:val="18"/>
              </w:rPr>
              <w:t>intended</w:t>
            </w:r>
            <w:bookmarkEnd w:id="10"/>
            <w:r>
              <w:rPr>
                <w:rFonts w:ascii="Arial" w:eastAsia="Times" w:hAnsi="Arial"/>
                <w:sz w:val="18"/>
                <w:szCs w:val="18"/>
              </w:rPr>
              <w:t xml:space="preserve"> use</w:t>
            </w:r>
          </w:p>
        </w:tc>
      </w:tr>
      <w:tr w:rsidR="00617493" w14:paraId="75D074D4" w14:textId="77777777">
        <w:trPr>
          <w:jc w:val="center"/>
        </w:trPr>
        <w:tc>
          <w:tcPr>
            <w:tcW w:w="0" w:type="auto"/>
            <w:tcBorders>
              <w:bottom w:val="single" w:sz="4" w:space="0" w:color="auto"/>
            </w:tcBorders>
          </w:tcPr>
          <w:p w14:paraId="05610383" w14:textId="27EBD4BB"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宋体" w:hAnsi="Arial" w:hint="eastAsia"/>
                <w:color w:val="000000" w:themeColor="text1"/>
                <w:sz w:val="18"/>
                <w:szCs w:val="18"/>
                <w:lang w:val="en-US" w:eastAsia="zh-CN"/>
              </w:rPr>
              <w:t>Peanut</w:t>
            </w:r>
            <w:r w:rsidR="00E75AA1">
              <w:rPr>
                <w:rFonts w:ascii="Arial" w:eastAsia="宋体" w:hAnsi="Arial"/>
                <w:color w:val="000000" w:themeColor="text1"/>
                <w:sz w:val="18"/>
                <w:szCs w:val="18"/>
                <w:lang w:val="en-US" w:eastAsia="zh-CN"/>
              </w:rPr>
              <w:t xml:space="preserve"> </w:t>
            </w:r>
            <w:r w:rsidR="00E75AA1">
              <w:rPr>
                <w:rFonts w:ascii="Arial" w:eastAsia="宋体" w:hAnsi="Arial" w:hint="eastAsia"/>
                <w:color w:val="000000" w:themeColor="text1"/>
                <w:sz w:val="18"/>
                <w:szCs w:val="18"/>
                <w:lang w:val="en-US" w:eastAsia="zh-CN"/>
              </w:rPr>
              <w:t>a</w:t>
            </w:r>
            <w:r w:rsidR="00E75AA1">
              <w:rPr>
                <w:rFonts w:ascii="Arial" w:eastAsia="宋体" w:hAnsi="Arial"/>
                <w:color w:val="000000" w:themeColor="text1"/>
                <w:sz w:val="18"/>
                <w:szCs w:val="18"/>
                <w:lang w:val="en-US" w:eastAsia="zh-CN"/>
              </w:rPr>
              <w:t>nd</w:t>
            </w:r>
            <w:r>
              <w:rPr>
                <w:rFonts w:ascii="Arial" w:eastAsia="宋体" w:hAnsi="Arial" w:hint="eastAsia"/>
                <w:color w:val="000000" w:themeColor="text1"/>
                <w:sz w:val="18"/>
                <w:szCs w:val="18"/>
                <w:lang w:val="en-US" w:eastAsia="zh-CN"/>
              </w:rPr>
              <w:t xml:space="preserve"> peanut pieces after oil </w:t>
            </w:r>
            <w:r>
              <w:rPr>
                <w:rFonts w:ascii="Arial" w:eastAsiaTheme="minorEastAsia" w:hAnsi="Arial" w:cs="Arial" w:hint="eastAsia"/>
                <w:color w:val="000000" w:themeColor="text1"/>
                <w:sz w:val="18"/>
                <w:szCs w:val="18"/>
                <w:lang w:val="en-US"/>
              </w:rPr>
              <w:t>extraction</w:t>
            </w:r>
            <w:r w:rsidR="00E75AA1">
              <w:rPr>
                <w:rFonts w:ascii="Arial" w:eastAsiaTheme="minorEastAsia" w:hAnsi="Arial" w:cs="Arial"/>
                <w:color w:val="000000" w:themeColor="text1"/>
                <w:sz w:val="18"/>
                <w:szCs w:val="18"/>
                <w:lang w:val="en-US"/>
              </w:rPr>
              <w:t xml:space="preserve"> that was used for rearing the khapra beetles; stored grains and dried fruits that infected by the beetle is intended to be treated with this stand/schedule.</w:t>
            </w:r>
          </w:p>
        </w:tc>
      </w:tr>
      <w:tr w:rsidR="00617493" w14:paraId="121F5882" w14:textId="77777777">
        <w:trPr>
          <w:jc w:val="center"/>
        </w:trPr>
        <w:tc>
          <w:tcPr>
            <w:tcW w:w="0" w:type="auto"/>
            <w:shd w:val="clear" w:color="auto" w:fill="D9E8FF"/>
          </w:tcPr>
          <w:p w14:paraId="591EEAB7" w14:textId="77777777" w:rsidR="00617493" w:rsidRDefault="00000000">
            <w:pPr>
              <w:rPr>
                <w:rFonts w:ascii="Arial" w:eastAsia="Times" w:hAnsi="Arial"/>
                <w:sz w:val="18"/>
                <w:szCs w:val="18"/>
              </w:rPr>
            </w:pPr>
            <w:r>
              <w:rPr>
                <w:rFonts w:ascii="Arial" w:eastAsia="Times" w:hAnsi="Arial"/>
                <w:sz w:val="18"/>
                <w:szCs w:val="18"/>
              </w:rPr>
              <w:t>Botanical name for plant or plant product (where applicable)</w:t>
            </w:r>
          </w:p>
        </w:tc>
      </w:tr>
      <w:tr w:rsidR="00617493" w14:paraId="436037A4" w14:textId="77777777">
        <w:trPr>
          <w:trHeight w:val="207"/>
          <w:jc w:val="center"/>
        </w:trPr>
        <w:tc>
          <w:tcPr>
            <w:tcW w:w="0" w:type="auto"/>
            <w:tcBorders>
              <w:bottom w:val="single" w:sz="4" w:space="0" w:color="auto"/>
            </w:tcBorders>
          </w:tcPr>
          <w:p w14:paraId="57932787" w14:textId="070563C5" w:rsidR="00617493" w:rsidRDefault="00E75AA1">
            <w:pPr>
              <w:widowControl w:val="0"/>
              <w:autoSpaceDE w:val="0"/>
              <w:autoSpaceDN w:val="0"/>
              <w:adjustRightInd w:val="0"/>
              <w:spacing w:beforeLines="50" w:before="120" w:afterLines="50" w:after="120"/>
              <w:jc w:val="left"/>
              <w:rPr>
                <w:rFonts w:ascii="Arial" w:eastAsia="Times" w:hAnsi="Arial"/>
                <w:sz w:val="18"/>
                <w:szCs w:val="18"/>
              </w:rPr>
            </w:pPr>
            <w:bookmarkStart w:id="11" w:name="OLE_LINK2"/>
            <w:r w:rsidRPr="00E75AA1">
              <w:rPr>
                <w:rFonts w:ascii="Arial" w:eastAsia="Times" w:hAnsi="Arial"/>
                <w:b/>
                <w:bCs/>
                <w:color w:val="000000" w:themeColor="text1"/>
                <w:sz w:val="18"/>
                <w:szCs w:val="18"/>
              </w:rPr>
              <w:t>Peanut:</w:t>
            </w:r>
            <w:r>
              <w:rPr>
                <w:rFonts w:ascii="Arial" w:eastAsia="Times" w:hAnsi="Arial"/>
                <w:i/>
                <w:iCs/>
                <w:color w:val="000000" w:themeColor="text1"/>
                <w:sz w:val="18"/>
                <w:szCs w:val="18"/>
              </w:rPr>
              <w:t xml:space="preserve"> </w:t>
            </w:r>
            <w:r>
              <w:rPr>
                <w:rFonts w:ascii="Arial" w:eastAsia="Times" w:hAnsi="Arial" w:hint="eastAsia"/>
                <w:i/>
                <w:iCs/>
                <w:color w:val="000000" w:themeColor="text1"/>
                <w:sz w:val="18"/>
                <w:szCs w:val="18"/>
              </w:rPr>
              <w:t xml:space="preserve">Arachis </w:t>
            </w:r>
            <w:r>
              <w:rPr>
                <w:rFonts w:ascii="Arial" w:eastAsia="Times" w:hAnsi="Arial"/>
                <w:i/>
                <w:iCs/>
                <w:color w:val="000000" w:themeColor="text1"/>
                <w:sz w:val="18"/>
                <w:szCs w:val="18"/>
              </w:rPr>
              <w:t>h</w:t>
            </w:r>
            <w:r>
              <w:rPr>
                <w:rFonts w:ascii="Arial" w:eastAsiaTheme="minorEastAsia" w:hAnsi="Arial" w:cs="Arial" w:hint="eastAsia"/>
                <w:i/>
                <w:iCs/>
                <w:color w:val="000000" w:themeColor="text1"/>
                <w:sz w:val="18"/>
                <w:szCs w:val="18"/>
                <w:lang w:val="en-US"/>
              </w:rPr>
              <w:t>ypogaea</w:t>
            </w:r>
            <w:r>
              <w:rPr>
                <w:rFonts w:ascii="Arial" w:eastAsia="Times" w:hAnsi="Arial" w:hint="eastAsia"/>
                <w:color w:val="000000" w:themeColor="text1"/>
                <w:sz w:val="18"/>
                <w:szCs w:val="18"/>
              </w:rPr>
              <w:t xml:space="preserve"> Linn</w:t>
            </w:r>
            <w:bookmarkEnd w:id="11"/>
          </w:p>
        </w:tc>
      </w:tr>
      <w:tr w:rsidR="00617493" w14:paraId="7CED0F58" w14:textId="77777777">
        <w:trPr>
          <w:jc w:val="center"/>
        </w:trPr>
        <w:tc>
          <w:tcPr>
            <w:tcW w:w="0" w:type="auto"/>
            <w:shd w:val="clear" w:color="auto" w:fill="D9E8FF"/>
          </w:tcPr>
          <w:p w14:paraId="5D4360FF" w14:textId="77777777" w:rsidR="00617493" w:rsidRDefault="00000000">
            <w:pPr>
              <w:rPr>
                <w:rFonts w:ascii="Arial" w:eastAsia="Times" w:hAnsi="Arial"/>
                <w:sz w:val="18"/>
                <w:szCs w:val="18"/>
              </w:rPr>
            </w:pPr>
            <w:r>
              <w:rPr>
                <w:rFonts w:ascii="Arial" w:eastAsia="Times" w:hAnsi="Arial"/>
                <w:sz w:val="18"/>
                <w:szCs w:val="18"/>
              </w:rPr>
              <w:t>Conditions of the plant or plant product</w:t>
            </w:r>
          </w:p>
        </w:tc>
      </w:tr>
      <w:tr w:rsidR="00617493" w14:paraId="1FBFD9C5" w14:textId="77777777">
        <w:trPr>
          <w:jc w:val="center"/>
        </w:trPr>
        <w:tc>
          <w:tcPr>
            <w:tcW w:w="0" w:type="auto"/>
            <w:tcBorders>
              <w:bottom w:val="single" w:sz="4" w:space="0" w:color="auto"/>
            </w:tcBorders>
          </w:tcPr>
          <w:p w14:paraId="2D7294B6" w14:textId="21AEABF3"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color w:val="000000" w:themeColor="text1"/>
                <w:sz w:val="18"/>
                <w:szCs w:val="18"/>
              </w:rPr>
              <w:t xml:space="preserve">Peanut </w:t>
            </w:r>
            <w:r>
              <w:rPr>
                <w:rFonts w:ascii="Arial" w:eastAsia="宋体" w:hAnsi="Arial" w:hint="eastAsia"/>
                <w:color w:val="000000" w:themeColor="text1"/>
                <w:sz w:val="18"/>
                <w:szCs w:val="18"/>
                <w:lang w:val="en-US" w:eastAsia="zh-CN"/>
              </w:rPr>
              <w:t>and</w:t>
            </w:r>
            <w:r>
              <w:rPr>
                <w:rFonts w:ascii="Arial" w:eastAsia="Times" w:hAnsi="Arial" w:hint="eastAsia"/>
                <w:color w:val="000000" w:themeColor="text1"/>
                <w:sz w:val="18"/>
                <w:szCs w:val="18"/>
              </w:rPr>
              <w:t xml:space="preserve"> peanut </w:t>
            </w:r>
            <w:r>
              <w:rPr>
                <w:rFonts w:ascii="Arial" w:eastAsia="宋体" w:hAnsi="Arial" w:hint="eastAsia"/>
                <w:color w:val="000000" w:themeColor="text1"/>
                <w:sz w:val="18"/>
                <w:szCs w:val="18"/>
                <w:lang w:val="en-US" w:eastAsia="zh-CN"/>
              </w:rPr>
              <w:t>pieces</w:t>
            </w:r>
            <w:r>
              <w:rPr>
                <w:rFonts w:ascii="Arial" w:eastAsia="Times" w:hAnsi="Arial" w:hint="eastAsia"/>
                <w:color w:val="000000" w:themeColor="text1"/>
                <w:sz w:val="18"/>
                <w:szCs w:val="18"/>
              </w:rPr>
              <w:t xml:space="preserve"> after oil extraction </w:t>
            </w:r>
            <w:r w:rsidR="00E75AA1">
              <w:rPr>
                <w:rFonts w:ascii="Arial" w:eastAsia="Times" w:hAnsi="Arial"/>
                <w:color w:val="000000" w:themeColor="text1"/>
                <w:sz w:val="18"/>
                <w:szCs w:val="18"/>
              </w:rPr>
              <w:t xml:space="preserve">were </w:t>
            </w:r>
            <w:r>
              <w:rPr>
                <w:rFonts w:ascii="Arial" w:eastAsia="Times" w:hAnsi="Arial" w:hint="eastAsia"/>
                <w:color w:val="000000" w:themeColor="text1"/>
                <w:sz w:val="18"/>
                <w:szCs w:val="18"/>
              </w:rPr>
              <w:t>stored at room temperature.</w:t>
            </w:r>
          </w:p>
        </w:tc>
      </w:tr>
      <w:tr w:rsidR="00617493" w14:paraId="362D281C" w14:textId="77777777">
        <w:trPr>
          <w:jc w:val="center"/>
        </w:trPr>
        <w:tc>
          <w:tcPr>
            <w:tcW w:w="0" w:type="auto"/>
            <w:tcBorders>
              <w:bottom w:val="single" w:sz="4" w:space="0" w:color="auto"/>
            </w:tcBorders>
            <w:shd w:val="clear" w:color="auto" w:fill="B7D4FF"/>
          </w:tcPr>
          <w:p w14:paraId="1E121144" w14:textId="77777777" w:rsidR="00617493" w:rsidRDefault="00000000">
            <w:pPr>
              <w:rPr>
                <w:rFonts w:ascii="Arial" w:eastAsia="Times" w:hAnsi="Arial"/>
                <w:sz w:val="18"/>
                <w:szCs w:val="18"/>
              </w:rPr>
            </w:pPr>
            <w:r>
              <w:rPr>
                <w:rFonts w:ascii="Arial" w:eastAsia="Times" w:hAnsi="Arial"/>
                <w:bCs/>
                <w:sz w:val="18"/>
                <w:szCs w:val="18"/>
              </w:rPr>
              <w:t>Experimental parameters</w:t>
            </w:r>
          </w:p>
        </w:tc>
      </w:tr>
      <w:tr w:rsidR="00617493" w14:paraId="2C629289" w14:textId="77777777">
        <w:trPr>
          <w:jc w:val="center"/>
        </w:trPr>
        <w:tc>
          <w:tcPr>
            <w:tcW w:w="0" w:type="auto"/>
            <w:shd w:val="clear" w:color="auto" w:fill="D9E8FF"/>
          </w:tcPr>
          <w:p w14:paraId="7D687BCE" w14:textId="77777777" w:rsidR="00617493"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617493" w14:paraId="74385025" w14:textId="77777777">
        <w:trPr>
          <w:jc w:val="center"/>
        </w:trPr>
        <w:tc>
          <w:tcPr>
            <w:tcW w:w="0" w:type="auto"/>
            <w:tcBorders>
              <w:bottom w:val="single" w:sz="4" w:space="0" w:color="auto"/>
            </w:tcBorders>
          </w:tcPr>
          <w:p w14:paraId="5C9C5F9E" w14:textId="77777777" w:rsidR="00617493" w:rsidRDefault="00000000">
            <w:pPr>
              <w:widowControl w:val="0"/>
              <w:autoSpaceDE w:val="0"/>
              <w:autoSpaceDN w:val="0"/>
              <w:adjustRightInd w:val="0"/>
              <w:spacing w:beforeLines="50" w:before="120" w:afterLines="50" w:after="120"/>
              <w:rPr>
                <w:rFonts w:ascii="Arial" w:eastAsiaTheme="minorEastAsia" w:hAnsi="Arial" w:cs="Arial"/>
                <w:sz w:val="18"/>
                <w:szCs w:val="18"/>
                <w:lang w:val="en-US" w:eastAsia="zh-CN"/>
              </w:rPr>
            </w:pPr>
            <w:r>
              <w:rPr>
                <w:rFonts w:ascii="Arial" w:eastAsiaTheme="minorEastAsia" w:hAnsi="Arial" w:cs="Arial" w:hint="eastAsia"/>
                <w:sz w:val="18"/>
                <w:szCs w:val="18"/>
                <w:lang w:eastAsia="zh-CN"/>
              </w:rPr>
              <w:t xml:space="preserve">To compare the </w:t>
            </w:r>
            <w:r>
              <w:rPr>
                <w:rFonts w:ascii="Arial" w:eastAsiaTheme="minorEastAsia" w:hAnsi="Arial" w:cs="Arial" w:hint="eastAsia"/>
                <w:sz w:val="18"/>
                <w:szCs w:val="18"/>
                <w:lang w:val="en-US"/>
              </w:rPr>
              <w:t>radiation</w:t>
            </w:r>
            <w:r>
              <w:rPr>
                <w:rFonts w:ascii="Arial" w:eastAsiaTheme="minorEastAsia" w:hAnsi="Arial" w:cs="Arial" w:hint="eastAsia"/>
                <w:sz w:val="18"/>
                <w:szCs w:val="18"/>
                <w:lang w:eastAsia="zh-CN"/>
              </w:rPr>
              <w:t xml:space="preserve"> tolerance to mortality</w:t>
            </w:r>
            <w:r>
              <w:rPr>
                <w:rFonts w:ascii="Arial" w:eastAsiaTheme="minorEastAsia" w:hAnsi="Arial" w:cs="Arial" w:hint="eastAsia"/>
                <w:sz w:val="18"/>
                <w:szCs w:val="18"/>
                <w:lang w:val="en-US" w:eastAsia="zh-CN"/>
              </w:rPr>
              <w:t xml:space="preserve"> and </w:t>
            </w:r>
            <w:r>
              <w:rPr>
                <w:rFonts w:ascii="Arial" w:eastAsiaTheme="minorEastAsia" w:hAnsi="Arial" w:cs="Arial" w:hint="eastAsia"/>
                <w:sz w:val="18"/>
                <w:szCs w:val="18"/>
                <w:lang w:eastAsia="zh-CN"/>
              </w:rPr>
              <w:t xml:space="preserve">the synergistic effects of modified atmosphere (MA) combined with irradiation on the treatment of </w:t>
            </w:r>
            <w:r>
              <w:rPr>
                <w:rFonts w:ascii="Arial" w:eastAsiaTheme="minorEastAsia" w:hAnsi="Arial" w:cs="Arial" w:hint="eastAsia"/>
                <w:i/>
                <w:iCs/>
                <w:sz w:val="18"/>
                <w:szCs w:val="18"/>
                <w:lang w:eastAsia="zh-CN"/>
              </w:rPr>
              <w:t>T</w:t>
            </w:r>
            <w:r>
              <w:rPr>
                <w:rFonts w:ascii="Arial" w:eastAsiaTheme="minorEastAsia" w:hAnsi="Arial" w:cs="Arial" w:hint="eastAsia"/>
                <w:i/>
                <w:iCs/>
                <w:sz w:val="18"/>
                <w:szCs w:val="18"/>
                <w:lang w:val="en-US" w:eastAsia="zh-CN"/>
              </w:rPr>
              <w:t>.</w:t>
            </w:r>
            <w:r>
              <w:rPr>
                <w:rFonts w:ascii="Arial" w:eastAsiaTheme="minorEastAsia" w:hAnsi="Arial" w:cs="Arial" w:hint="eastAsia"/>
                <w:i/>
                <w:iCs/>
                <w:sz w:val="18"/>
                <w:szCs w:val="18"/>
                <w:lang w:eastAsia="zh-CN"/>
              </w:rPr>
              <w:t xml:space="preserve"> granarium</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 xml:space="preserve"> The</w:t>
            </w:r>
            <w:r>
              <w:rPr>
                <w:rFonts w:ascii="Arial" w:eastAsiaTheme="minorEastAsia" w:hAnsi="Arial" w:cs="Arial" w:hint="eastAsia"/>
                <w:sz w:val="18"/>
                <w:szCs w:val="18"/>
                <w:lang w:eastAsia="zh-CN"/>
              </w:rPr>
              <w:t xml:space="preserve"> middle- to late-aged larvae and adults were treated with irradiation, modified atmosphere (MA) alone, and their combinations. </w:t>
            </w:r>
            <w:r>
              <w:rPr>
                <w:rFonts w:ascii="Arial" w:eastAsiaTheme="minorEastAsia" w:hAnsi="Arial" w:cs="Arial" w:hint="eastAsia"/>
                <w:sz w:val="18"/>
                <w:szCs w:val="18"/>
                <w:lang w:val="en-US" w:eastAsia="zh-CN"/>
              </w:rPr>
              <w:t xml:space="preserve"> Khapra beetle late-aged larvae are determined as the most tolerant to modified atmospheres, 200 to 600 Gy irradiation alone or their combinations. And ionizing radiation enhanced the effects of 1% and 2% O</w:t>
            </w:r>
            <w:r>
              <w:rPr>
                <w:rFonts w:ascii="Arial" w:eastAsiaTheme="minorEastAsia" w:hAnsi="Arial" w:cs="Arial" w:hint="eastAsia"/>
                <w:sz w:val="18"/>
                <w:szCs w:val="18"/>
                <w:vertAlign w:val="subscript"/>
                <w:lang w:val="en-US" w:eastAsia="zh-CN"/>
              </w:rPr>
              <w:t>2</w:t>
            </w:r>
            <w:r>
              <w:rPr>
                <w:rFonts w:ascii="Arial" w:eastAsiaTheme="minorEastAsia" w:hAnsi="Arial" w:cs="Arial" w:hint="eastAsia"/>
                <w:sz w:val="18"/>
                <w:szCs w:val="18"/>
                <w:lang w:val="en-US" w:eastAsia="zh-CN"/>
              </w:rPr>
              <w:t xml:space="preserve"> atmosphere treatment and obvious synergistic effects presented in all combinations. As high as 60% of the exposure time was estimated to be saved comparing with modified atmospheres alone. </w:t>
            </w:r>
          </w:p>
          <w:p w14:paraId="760D2608" w14:textId="77777777" w:rsidR="00617493" w:rsidRDefault="00000000">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Mortality data for irradiation, MA treatment alone or their combinations were corrected by using Abbott</w:t>
            </w:r>
            <w:r>
              <w:rPr>
                <w:rFonts w:ascii="Arial" w:eastAsiaTheme="minorEastAsia" w:hAnsi="Arial" w:cs="Arial"/>
                <w:sz w:val="18"/>
                <w:szCs w:val="18"/>
                <w:lang w:val="en-US" w:eastAsia="zh-CN"/>
              </w:rPr>
              <w:t>’</w:t>
            </w:r>
            <w:r>
              <w:rPr>
                <w:rFonts w:ascii="Arial" w:eastAsiaTheme="minorEastAsia" w:hAnsi="Arial" w:cs="Arial" w:hint="eastAsia"/>
                <w:sz w:val="18"/>
                <w:szCs w:val="18"/>
                <w:lang w:val="en-US" w:eastAsia="zh-CN"/>
              </w:rPr>
              <w:t>s formula  and then subjected to two-way or three-way Analysis of Variance (ANOVA) to analyze the individual effects of main factors and their interaction effects; means (</w:t>
            </w:r>
            <w:r>
              <w:rPr>
                <w:rFonts w:ascii="Arial" w:eastAsiaTheme="minorEastAsia" w:hAnsi="Arial" w:cs="Arial" w:hint="eastAsia"/>
                <w:sz w:val="18"/>
                <w:szCs w:val="18"/>
                <w:lang w:val="en-US" w:eastAsia="zh-CN"/>
              </w:rPr>
              <w:t>±</w:t>
            </w:r>
            <w:r>
              <w:rPr>
                <w:rFonts w:ascii="Arial" w:eastAsiaTheme="minorEastAsia" w:hAnsi="Arial" w:cs="Arial" w:hint="eastAsia"/>
                <w:sz w:val="18"/>
                <w:szCs w:val="18"/>
                <w:lang w:val="en-US" w:eastAsia="zh-CN"/>
              </w:rPr>
              <w:t>SD, for all the mortality) were compared by Tukey</w:t>
            </w:r>
            <w:r>
              <w:rPr>
                <w:rFonts w:ascii="Arial" w:eastAsiaTheme="minorEastAsia" w:hAnsi="Arial" w:cs="Arial"/>
                <w:sz w:val="18"/>
                <w:szCs w:val="18"/>
                <w:lang w:val="en-US" w:eastAsia="zh-CN"/>
              </w:rPr>
              <w:t>’</w:t>
            </w:r>
            <w:r>
              <w:rPr>
                <w:rFonts w:ascii="Arial" w:eastAsiaTheme="minorEastAsia" w:hAnsi="Arial" w:cs="Arial" w:hint="eastAsia"/>
                <w:sz w:val="18"/>
                <w:szCs w:val="18"/>
                <w:lang w:val="en-US" w:eastAsia="zh-CN"/>
              </w:rPr>
              <w:t>s multiple comparison tests; where DPS software was used in the analysis. The dose-response (time-mortality) data on MA treatment alone or in combination with irradiation were analyzed with Probit model by using PoloPlus 2.0 program to estimate the lethal exposure time (using non-transformed exposure times), in which any mortality data between 0 and 100%, and the shortest exposure time causing 100% mortality were used in the analysis. Pare-wise comparison tests were performed by calculating the 95% confidence limits (CIs) of the lethal dose ratios at LT</w:t>
            </w:r>
            <w:r>
              <w:rPr>
                <w:rFonts w:ascii="Arial" w:eastAsiaTheme="minorEastAsia" w:hAnsi="Arial" w:cs="Arial" w:hint="eastAsia"/>
                <w:sz w:val="18"/>
                <w:szCs w:val="18"/>
                <w:vertAlign w:val="subscript"/>
                <w:lang w:val="en-US" w:eastAsia="zh-CN"/>
              </w:rPr>
              <w:t>90</w:t>
            </w:r>
            <w:r>
              <w:rPr>
                <w:rFonts w:ascii="Arial" w:eastAsiaTheme="minorEastAsia" w:hAnsi="Arial" w:cs="Arial" w:hint="eastAsia"/>
                <w:sz w:val="18"/>
                <w:szCs w:val="18"/>
                <w:lang w:val="en-US" w:eastAsia="zh-CN"/>
              </w:rPr>
              <w:t>, LT</w:t>
            </w:r>
            <w:r>
              <w:rPr>
                <w:rFonts w:ascii="Arial" w:eastAsiaTheme="minorEastAsia" w:hAnsi="Arial" w:cs="Arial" w:hint="eastAsia"/>
                <w:sz w:val="18"/>
                <w:szCs w:val="18"/>
                <w:vertAlign w:val="subscript"/>
                <w:lang w:val="en-US" w:eastAsia="zh-CN"/>
              </w:rPr>
              <w:t>99</w:t>
            </w:r>
            <w:r>
              <w:rPr>
                <w:rFonts w:ascii="Arial" w:eastAsiaTheme="minorEastAsia" w:hAnsi="Arial" w:cs="Arial" w:hint="eastAsia"/>
                <w:sz w:val="18"/>
                <w:szCs w:val="18"/>
                <w:lang w:val="en-US" w:eastAsia="zh-CN"/>
              </w:rPr>
              <w:t>, and LT</w:t>
            </w:r>
            <w:r>
              <w:rPr>
                <w:rFonts w:ascii="Arial" w:eastAsiaTheme="minorEastAsia" w:hAnsi="Arial" w:cs="Arial" w:hint="eastAsia"/>
                <w:sz w:val="18"/>
                <w:szCs w:val="18"/>
                <w:vertAlign w:val="subscript"/>
                <w:lang w:val="en-US" w:eastAsia="zh-CN"/>
              </w:rPr>
              <w:t>99.9968</w:t>
            </w:r>
            <w:r>
              <w:rPr>
                <w:rFonts w:ascii="Arial" w:eastAsiaTheme="minorEastAsia" w:hAnsi="Arial" w:cs="Arial" w:hint="eastAsia"/>
                <w:sz w:val="18"/>
                <w:szCs w:val="18"/>
                <w:lang w:val="en-US" w:eastAsia="zh-CN"/>
              </w:rPr>
              <w:t xml:space="preserve"> so as to compare the significance of the tolerance of the khapra beetle between larval stages and treatments at different O</w:t>
            </w:r>
            <w:r>
              <w:rPr>
                <w:rFonts w:ascii="Arial" w:eastAsiaTheme="minorEastAsia" w:hAnsi="Arial" w:cs="Arial" w:hint="eastAsia"/>
                <w:sz w:val="18"/>
                <w:szCs w:val="18"/>
                <w:vertAlign w:val="subscript"/>
                <w:lang w:val="en-US" w:eastAsia="zh-CN"/>
              </w:rPr>
              <w:t>2</w:t>
            </w:r>
            <w:r>
              <w:rPr>
                <w:rFonts w:ascii="Arial" w:eastAsiaTheme="minorEastAsia" w:hAnsi="Arial" w:cs="Arial" w:hint="eastAsia"/>
                <w:sz w:val="18"/>
                <w:szCs w:val="18"/>
                <w:lang w:val="en-US" w:eastAsia="zh-CN"/>
              </w:rPr>
              <w:t xml:space="preserve"> levels. If the 95% CIs excludes 1, then the LTx values are significantly different. </w:t>
            </w:r>
          </w:p>
          <w:p w14:paraId="717907D9" w14:textId="77777777" w:rsidR="00617493" w:rsidRDefault="00000000">
            <w:pPr>
              <w:spacing w:beforeLines="50" w:before="120" w:afterLines="50" w:after="12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To determine the additive or synergistic effects in combined treatments, the synergistic ratios (SRs), which are defined by Hewlett and Plackett and have been used by Chadwick, who call it the factor of synergism, and Lee et al.  in the combination of two pesticides or fumigants, was also calculated from the equation 1.</w:t>
            </w:r>
          </w:p>
          <w:p w14:paraId="4B2F1547" w14:textId="77777777" w:rsidR="00617493" w:rsidRPr="002D4091" w:rsidRDefault="00000000">
            <w:pPr>
              <w:jc w:val="center"/>
              <w:rPr>
                <w:rFonts w:ascii="Arial" w:eastAsiaTheme="minorEastAsia" w:hAnsi="Arial" w:cs="Arial"/>
                <w:sz w:val="18"/>
                <w:szCs w:val="18"/>
                <w:lang w:val="de-DE" w:eastAsia="zh-CN"/>
              </w:rPr>
            </w:pPr>
            <w:r w:rsidRPr="002D4091">
              <w:rPr>
                <w:rFonts w:ascii="Arial" w:eastAsiaTheme="minorEastAsia" w:hAnsi="Arial" w:cs="Arial" w:hint="eastAsia"/>
                <w:sz w:val="18"/>
                <w:szCs w:val="18"/>
                <w:lang w:val="de-DE" w:eastAsia="zh-CN"/>
              </w:rPr>
              <w:lastRenderedPageBreak/>
              <w:t xml:space="preserve">SRs = </w:t>
            </w:r>
            <m:oMath>
              <m:f>
                <m:fPr>
                  <m:ctrlPr>
                    <w:rPr>
                      <w:rFonts w:ascii="Cambria Math" w:hAnsi="Cambria Math"/>
                      <w:color w:val="000000" w:themeColor="text1"/>
                      <w:szCs w:val="20"/>
                    </w:rPr>
                  </m:ctrlPr>
                </m:fPr>
                <m:num>
                  <m:r>
                    <m:rPr>
                      <m:sty m:val="p"/>
                    </m:rPr>
                    <w:rPr>
                      <w:rFonts w:ascii="Cambria Math" w:hAnsi="Cambria Math"/>
                      <w:color w:val="000000" w:themeColor="text1"/>
                      <w:szCs w:val="20"/>
                      <w:lang w:val="de-DE"/>
                    </w:rPr>
                    <m:t>LTx of MA alone</m:t>
                  </m:r>
                </m:num>
                <m:den>
                  <m:r>
                    <m:rPr>
                      <m:sty m:val="p"/>
                    </m:rPr>
                    <w:rPr>
                      <w:rFonts w:ascii="Cambria Math" w:hAnsi="Cambria Math"/>
                      <w:color w:val="000000" w:themeColor="text1"/>
                      <w:szCs w:val="20"/>
                      <w:lang w:val="de-DE"/>
                    </w:rPr>
                    <m:t xml:space="preserve">LTx of MA + Irradiation (combined treatment) </m:t>
                  </m:r>
                </m:den>
              </m:f>
            </m:oMath>
            <w:r w:rsidRPr="002D4091">
              <w:rPr>
                <w:rFonts w:ascii="Arial" w:eastAsiaTheme="minorEastAsia" w:hAnsi="Arial" w:cs="Arial" w:hint="eastAsia"/>
                <w:sz w:val="18"/>
                <w:szCs w:val="18"/>
                <w:lang w:val="de-DE" w:eastAsia="zh-CN"/>
              </w:rPr>
              <w:tab/>
              <w:t>(1)</w:t>
            </w:r>
          </w:p>
          <w:p w14:paraId="685031F6" w14:textId="77777777" w:rsidR="00617493" w:rsidRDefault="00000000">
            <w:pPr>
              <w:spacing w:beforeLines="50" w:before="120" w:afterLines="50" w:after="120"/>
              <w:ind w:firstLineChars="200" w:firstLine="36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where: LTx presents the estimated lethal time, for example LT</w:t>
            </w:r>
            <w:r w:rsidRPr="00913F02">
              <w:rPr>
                <w:rFonts w:ascii="Arial" w:eastAsiaTheme="minorEastAsia" w:hAnsi="Arial" w:cs="Arial" w:hint="eastAsia"/>
                <w:sz w:val="18"/>
                <w:szCs w:val="18"/>
                <w:vertAlign w:val="subscript"/>
                <w:lang w:val="en-US" w:eastAsia="zh-CN"/>
              </w:rPr>
              <w:t>90</w:t>
            </w:r>
            <w:r>
              <w:rPr>
                <w:rFonts w:ascii="Arial" w:eastAsiaTheme="minorEastAsia" w:hAnsi="Arial" w:cs="Arial" w:hint="eastAsia"/>
                <w:sz w:val="18"/>
                <w:szCs w:val="18"/>
                <w:lang w:val="en-US" w:eastAsia="zh-CN"/>
              </w:rPr>
              <w:t>:</w:t>
            </w:r>
          </w:p>
          <w:p w14:paraId="67999D28" w14:textId="77777777" w:rsidR="00617493" w:rsidRDefault="00000000">
            <w:pPr>
              <w:spacing w:beforeLines="50" w:before="120" w:afterLines="50" w:after="120"/>
              <w:ind w:firstLineChars="400" w:firstLine="72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SRs = 1 describes additive action,</w:t>
            </w:r>
          </w:p>
          <w:p w14:paraId="0B2EEBDD" w14:textId="77777777" w:rsidR="00617493" w:rsidRDefault="00000000">
            <w:pPr>
              <w:spacing w:beforeLines="50" w:before="120" w:afterLines="50" w:after="120"/>
              <w:ind w:firstLineChars="400" w:firstLine="72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SRs &lt; 1 describes antagonism,</w:t>
            </w:r>
          </w:p>
          <w:p w14:paraId="221B3915" w14:textId="77777777" w:rsidR="00617493" w:rsidRDefault="00000000">
            <w:pPr>
              <w:spacing w:beforeLines="50" w:before="120" w:afterLines="50" w:after="120"/>
              <w:ind w:firstLineChars="400" w:firstLine="72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SRs &gt; 1 describes synergism.</w:t>
            </w:r>
          </w:p>
          <w:p w14:paraId="09698C29"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For the confirmatory tests, </w:t>
            </w:r>
            <w:r>
              <w:rPr>
                <w:rFonts w:ascii="Arial" w:eastAsiaTheme="minorEastAsia" w:hAnsi="Arial" w:cs="Arial" w:hint="eastAsia"/>
                <w:sz w:val="18"/>
                <w:szCs w:val="18"/>
                <w:lang w:val="en-US"/>
              </w:rPr>
              <w:t>the</w:t>
            </w:r>
            <w:r>
              <w:rPr>
                <w:rFonts w:ascii="Arial" w:eastAsiaTheme="minorEastAsia" w:hAnsi="Arial" w:cs="Arial" w:hint="eastAsia"/>
                <w:sz w:val="18"/>
                <w:szCs w:val="18"/>
                <w:lang w:val="en-US" w:eastAsia="zh-CN"/>
              </w:rPr>
              <w:t xml:space="preserve"> mortality proportion (1-Pu) associated with treating a number of khapra beetle with zero survivors is given by equation 2 for a defined confidence level.</w:t>
            </w:r>
          </w:p>
          <w:p w14:paraId="3132B6D8" w14:textId="77777777" w:rsidR="00617493" w:rsidRDefault="00000000">
            <w:pPr>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hint="eastAsia"/>
                <w:i/>
                <w:iCs/>
                <w:sz w:val="18"/>
                <w:szCs w:val="18"/>
                <w:lang w:val="en-US" w:eastAsia="zh-CN"/>
              </w:rPr>
              <w:t>Pu</w:t>
            </w:r>
            <w:r>
              <w:rPr>
                <w:rFonts w:ascii="Arial" w:eastAsiaTheme="minorEastAsia" w:hAnsi="Arial" w:cs="Arial" w:hint="eastAsia"/>
                <w:sz w:val="18"/>
                <w:szCs w:val="18"/>
                <w:lang w:val="en-US" w:eastAsia="zh-CN"/>
              </w:rPr>
              <w:t xml:space="preserve"> = (1-</w:t>
            </w:r>
            <w:r>
              <w:rPr>
                <w:rFonts w:ascii="Arial" w:eastAsiaTheme="minorEastAsia" w:hAnsi="Arial" w:cs="Arial" w:hint="eastAsia"/>
                <w:i/>
                <w:iCs/>
                <w:sz w:val="18"/>
                <w:szCs w:val="18"/>
                <w:lang w:val="en-US" w:eastAsia="zh-CN"/>
              </w:rPr>
              <w:t>C</w:t>
            </w:r>
            <w:r>
              <w:rPr>
                <w:rFonts w:ascii="Arial" w:eastAsiaTheme="minorEastAsia" w:hAnsi="Arial" w:cs="Arial" w:hint="eastAsia"/>
                <w:sz w:val="18"/>
                <w:szCs w:val="18"/>
                <w:lang w:val="en-US" w:eastAsia="zh-CN"/>
              </w:rPr>
              <w:t>)</w:t>
            </w:r>
            <w:r>
              <w:rPr>
                <w:rFonts w:ascii="Arial" w:eastAsiaTheme="minorEastAsia" w:hAnsi="Arial" w:cs="Arial" w:hint="eastAsia"/>
                <w:sz w:val="18"/>
                <w:szCs w:val="18"/>
                <w:vertAlign w:val="superscript"/>
                <w:lang w:val="en-US" w:eastAsia="zh-CN"/>
              </w:rPr>
              <w:t>1/n</w:t>
            </w:r>
            <w:r>
              <w:rPr>
                <w:rFonts w:ascii="Arial" w:eastAsiaTheme="minorEastAsia" w:hAnsi="Arial" w:cs="Arial" w:hint="eastAsia"/>
                <w:sz w:val="18"/>
                <w:szCs w:val="18"/>
                <w:lang w:val="en-US" w:eastAsia="zh-CN"/>
              </w:rPr>
              <w:tab/>
              <w:t>(2)</w:t>
            </w:r>
          </w:p>
          <w:p w14:paraId="019D4DEC"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where Pu is the maximum </w:t>
            </w:r>
            <w:r>
              <w:rPr>
                <w:rFonts w:ascii="Arial" w:eastAsiaTheme="minorEastAsia" w:hAnsi="Arial" w:cs="Arial" w:hint="eastAsia"/>
                <w:sz w:val="18"/>
                <w:szCs w:val="18"/>
                <w:lang w:val="en-US"/>
              </w:rPr>
              <w:t>allowable</w:t>
            </w:r>
            <w:r>
              <w:rPr>
                <w:rFonts w:ascii="Arial" w:eastAsiaTheme="minorEastAsia" w:hAnsi="Arial" w:cs="Arial" w:hint="eastAsia"/>
                <w:sz w:val="18"/>
                <w:szCs w:val="18"/>
                <w:lang w:val="en-US" w:eastAsia="zh-CN"/>
              </w:rPr>
              <w:t xml:space="preserve"> infestation proportion, C is confidence level, and n is the number of test insects. Furthermore, the number (n) treated in confirmatory tests should be adjusted based on control survivorship.</w:t>
            </w:r>
          </w:p>
          <w:p w14:paraId="0AC2F4DC"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s="Arial"/>
                <w:sz w:val="18"/>
                <w:szCs w:val="18"/>
                <w:lang w:val="en-US"/>
              </w:rPr>
            </w:pPr>
            <w:r>
              <w:rPr>
                <w:rFonts w:ascii="Arial" w:eastAsiaTheme="minorEastAsia" w:hAnsi="Arial" w:cs="Arial" w:hint="eastAsia"/>
                <w:sz w:val="18"/>
                <w:szCs w:val="18"/>
                <w:lang w:eastAsia="zh-CN"/>
              </w:rPr>
              <w:t>The synergistic ratios, which is defined as the estimated lethal time for MA treatment (LD</w:t>
            </w:r>
            <w:r>
              <w:rPr>
                <w:rFonts w:ascii="Arial" w:eastAsiaTheme="minorEastAsia" w:hAnsi="Arial" w:cs="Arial" w:hint="eastAsia"/>
                <w:sz w:val="18"/>
                <w:szCs w:val="18"/>
                <w:vertAlign w:val="subscript"/>
                <w:lang w:eastAsia="zh-CN"/>
              </w:rPr>
              <w:t>90</w:t>
            </w:r>
            <w:r>
              <w:rPr>
                <w:rFonts w:ascii="Arial" w:eastAsiaTheme="minorEastAsia" w:hAnsi="Arial" w:cs="Arial" w:hint="eastAsia"/>
                <w:sz w:val="18"/>
                <w:szCs w:val="18"/>
                <w:lang w:eastAsia="zh-CN"/>
              </w:rPr>
              <w:t>, LD</w:t>
            </w:r>
            <w:r>
              <w:rPr>
                <w:rFonts w:ascii="Arial" w:eastAsiaTheme="minorEastAsia" w:hAnsi="Arial" w:cs="Arial" w:hint="eastAsia"/>
                <w:sz w:val="18"/>
                <w:szCs w:val="18"/>
                <w:vertAlign w:val="subscript"/>
                <w:lang w:eastAsia="zh-CN"/>
              </w:rPr>
              <w:t>99</w:t>
            </w:r>
            <w:r>
              <w:rPr>
                <w:rFonts w:ascii="Arial" w:eastAsiaTheme="minorEastAsia" w:hAnsi="Arial" w:cs="Arial" w:hint="eastAsia"/>
                <w:sz w:val="18"/>
                <w:szCs w:val="18"/>
                <w:lang w:eastAsia="zh-CN"/>
              </w:rPr>
              <w:t>, and LD</w:t>
            </w:r>
            <w:r>
              <w:rPr>
                <w:rFonts w:ascii="Arial" w:eastAsiaTheme="minorEastAsia" w:hAnsi="Arial" w:cs="Arial" w:hint="eastAsia"/>
                <w:sz w:val="18"/>
                <w:szCs w:val="18"/>
                <w:vertAlign w:val="subscript"/>
                <w:lang w:eastAsia="zh-CN"/>
              </w:rPr>
              <w:t>99.9968</w:t>
            </w:r>
            <w:r>
              <w:rPr>
                <w:rFonts w:ascii="Arial" w:eastAsiaTheme="minorEastAsia" w:hAnsi="Arial" w:cs="Arial" w:hint="eastAsia"/>
                <w:sz w:val="18"/>
                <w:szCs w:val="18"/>
                <w:lang w:eastAsia="zh-CN"/>
              </w:rPr>
              <w:t>), divided by that of combined treatment, were between 1.47 and 2.47. In the confirmatory tests, no individuals recovered from a sum of 111,366 late-aged larvae treated under 1% O</w:t>
            </w:r>
            <w:r>
              <w:rPr>
                <w:rFonts w:ascii="Arial" w:eastAsiaTheme="minorEastAsia" w:hAnsi="Arial" w:cs="Arial" w:hint="eastAsia"/>
                <w:sz w:val="18"/>
                <w:szCs w:val="18"/>
                <w:vertAlign w:val="subscript"/>
                <w:lang w:eastAsia="zh-CN"/>
              </w:rPr>
              <w:t>2</w:t>
            </w:r>
            <w:r>
              <w:rPr>
                <w:rFonts w:ascii="Arial" w:eastAsiaTheme="minorEastAsia" w:hAnsi="Arial" w:cs="Arial" w:hint="eastAsia"/>
                <w:sz w:val="18"/>
                <w:szCs w:val="18"/>
                <w:lang w:eastAsia="zh-CN"/>
              </w:rPr>
              <w:t xml:space="preserve"> atmosphere for 14- or 15-d after 200 Gy irradiation, which resulted in validating the probit estimations and achieving an efficacy of 99.9973% mortality at 95% confidence level. </w:t>
            </w:r>
          </w:p>
        </w:tc>
      </w:tr>
      <w:tr w:rsidR="00617493" w14:paraId="343C910E" w14:textId="77777777">
        <w:trPr>
          <w:jc w:val="center"/>
        </w:trPr>
        <w:tc>
          <w:tcPr>
            <w:tcW w:w="0" w:type="auto"/>
            <w:shd w:val="clear" w:color="auto" w:fill="D9E8FF"/>
          </w:tcPr>
          <w:p w14:paraId="2F6797F0" w14:textId="77777777" w:rsidR="00617493" w:rsidRDefault="00000000">
            <w:pPr>
              <w:rPr>
                <w:rFonts w:ascii="Arial" w:eastAsia="Times" w:hAnsi="Arial"/>
                <w:sz w:val="18"/>
                <w:szCs w:val="18"/>
              </w:rPr>
            </w:pPr>
            <w:r>
              <w:rPr>
                <w:rFonts w:ascii="Arial" w:eastAsia="Times" w:hAnsi="Arial"/>
                <w:sz w:val="18"/>
                <w:szCs w:val="18"/>
              </w:rPr>
              <w:lastRenderedPageBreak/>
              <w:t>Experimental facilities and equipment</w:t>
            </w:r>
          </w:p>
        </w:tc>
      </w:tr>
      <w:tr w:rsidR="00617493" w14:paraId="0944B494" w14:textId="77777777">
        <w:trPr>
          <w:jc w:val="center"/>
        </w:trPr>
        <w:tc>
          <w:tcPr>
            <w:tcW w:w="0" w:type="auto"/>
            <w:tcBorders>
              <w:bottom w:val="single" w:sz="4" w:space="0" w:color="auto"/>
            </w:tcBorders>
          </w:tcPr>
          <w:p w14:paraId="129588C6"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sz w:val="18"/>
                <w:szCs w:val="18"/>
              </w:rPr>
              <w:t xml:space="preserve">An RS-2000 Pro X-ray </w:t>
            </w:r>
            <w:r>
              <w:rPr>
                <w:rFonts w:ascii="Arial" w:eastAsiaTheme="minorEastAsia" w:hAnsi="Arial" w:cs="Arial"/>
                <w:sz w:val="18"/>
                <w:szCs w:val="18"/>
                <w:lang w:val="en-US"/>
              </w:rPr>
              <w:t>irradiator</w:t>
            </w:r>
            <w:r>
              <w:rPr>
                <w:rFonts w:ascii="Arial" w:eastAsia="Times" w:hAnsi="Arial"/>
                <w:sz w:val="18"/>
                <w:szCs w:val="18"/>
              </w:rPr>
              <w:t xml:space="preserve"> (Rad Source Technologies, Inc.,</w:t>
            </w:r>
            <w:r>
              <w:rPr>
                <w:rFonts w:ascii="Arial" w:eastAsiaTheme="minorEastAsia" w:hAnsi="Arial" w:hint="eastAsia"/>
                <w:sz w:val="18"/>
                <w:szCs w:val="18"/>
                <w:lang w:eastAsia="zh-CN"/>
              </w:rPr>
              <w:t xml:space="preserve"> </w:t>
            </w:r>
            <w:r>
              <w:rPr>
                <w:rFonts w:ascii="Arial" w:eastAsia="Times" w:hAnsi="Arial"/>
                <w:sz w:val="18"/>
                <w:szCs w:val="18"/>
              </w:rPr>
              <w:t>Atlanta, GA, USA) was used to conduct all the X-ray irradiations by using the operating</w:t>
            </w:r>
            <w:r>
              <w:rPr>
                <w:rFonts w:ascii="Arial" w:eastAsiaTheme="minorEastAsia" w:hAnsi="Arial" w:hint="eastAsia"/>
                <w:sz w:val="18"/>
                <w:szCs w:val="18"/>
                <w:lang w:eastAsia="zh-CN"/>
              </w:rPr>
              <w:t xml:space="preserve"> </w:t>
            </w:r>
            <w:r>
              <w:rPr>
                <w:rFonts w:ascii="Arial" w:eastAsia="Times" w:hAnsi="Arial"/>
                <w:sz w:val="18"/>
                <w:szCs w:val="18"/>
              </w:rPr>
              <w:t>parameters of 220 KeV and 17.6 mA. Every ~120 adults or larvae (middle- or late-aged</w:t>
            </w:r>
            <w:r>
              <w:rPr>
                <w:rFonts w:ascii="Arial" w:eastAsiaTheme="minorEastAsia" w:hAnsi="Arial" w:hint="eastAsia"/>
                <w:sz w:val="18"/>
                <w:szCs w:val="18"/>
                <w:lang w:eastAsia="zh-CN"/>
              </w:rPr>
              <w:t xml:space="preserve"> </w:t>
            </w:r>
            <w:r>
              <w:rPr>
                <w:rFonts w:ascii="Arial" w:eastAsia="Times" w:hAnsi="Arial"/>
                <w:sz w:val="18"/>
                <w:szCs w:val="18"/>
              </w:rPr>
              <w:t>instars) in a plastic box were irradiated at doses of 200, 400, and 600 Gy, respectively. For the</w:t>
            </w:r>
            <w:r>
              <w:rPr>
                <w:rFonts w:ascii="Arial" w:eastAsiaTheme="minorEastAsia" w:hAnsi="Arial" w:hint="eastAsia"/>
                <w:sz w:val="18"/>
                <w:szCs w:val="18"/>
                <w:lang w:eastAsia="zh-CN"/>
              </w:rPr>
              <w:t xml:space="preserve"> </w:t>
            </w:r>
            <w:r>
              <w:rPr>
                <w:rFonts w:ascii="Arial" w:eastAsia="Times" w:hAnsi="Arial"/>
                <w:sz w:val="18"/>
                <w:szCs w:val="18"/>
              </w:rPr>
              <w:t>confirmatory tests, late-aged larvae (11,020–25,374, counted during mortality-evaluation)</w:t>
            </w:r>
            <w:r>
              <w:rPr>
                <w:rFonts w:ascii="Arial" w:eastAsiaTheme="minorEastAsia" w:hAnsi="Arial" w:hint="eastAsia"/>
                <w:sz w:val="18"/>
                <w:szCs w:val="18"/>
                <w:lang w:eastAsia="zh-CN"/>
              </w:rPr>
              <w:t xml:space="preserve"> </w:t>
            </w:r>
            <w:r>
              <w:rPr>
                <w:rFonts w:ascii="Arial" w:eastAsia="Times" w:hAnsi="Arial"/>
                <w:sz w:val="18"/>
                <w:szCs w:val="18"/>
              </w:rPr>
              <w:t>were wrapped up in a plastic bag for irradiation at 200 Gy. The dose rate monitored in all</w:t>
            </w:r>
            <w:r>
              <w:rPr>
                <w:rFonts w:ascii="Arial" w:eastAsiaTheme="minorEastAsia" w:hAnsi="Arial" w:hint="eastAsia"/>
                <w:sz w:val="18"/>
                <w:szCs w:val="18"/>
                <w:lang w:eastAsia="zh-CN"/>
              </w:rPr>
              <w:t xml:space="preserve"> </w:t>
            </w:r>
            <w:r>
              <w:rPr>
                <w:rFonts w:ascii="Arial" w:eastAsia="Times" w:hAnsi="Arial"/>
                <w:sz w:val="18"/>
                <w:szCs w:val="18"/>
              </w:rPr>
              <w:t>these irradiations was 9.0 Gy/min.</w:t>
            </w:r>
          </w:p>
          <w:p w14:paraId="0DACE0BC" w14:textId="77777777" w:rsidR="00617493" w:rsidRDefault="00000000">
            <w:pPr>
              <w:widowControl w:val="0"/>
              <w:autoSpaceDE w:val="0"/>
              <w:autoSpaceDN w:val="0"/>
              <w:adjustRightInd w:val="0"/>
              <w:spacing w:beforeLines="50" w:before="120" w:afterLines="50" w:after="120"/>
              <w:jc w:val="left"/>
              <w:rPr>
                <w:rFonts w:ascii="Arial" w:eastAsiaTheme="minorEastAsia" w:hAnsi="Arial" w:cs="Arial"/>
                <w:sz w:val="18"/>
                <w:szCs w:val="18"/>
                <w:lang w:val="en-US" w:eastAsia="zh-CN"/>
              </w:rPr>
            </w:pPr>
            <w:r>
              <w:rPr>
                <w:rFonts w:ascii="Arial" w:eastAsiaTheme="minorEastAsia" w:hAnsi="Arial" w:cs="Arial"/>
                <w:sz w:val="18"/>
                <w:szCs w:val="18"/>
                <w:lang w:val="en-US"/>
              </w:rPr>
              <w:t>All the gamma radiations were completed at the National Institute</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of Metrology Research Irradiator, Beijing, China, where the primary 1.5x10</w:t>
            </w:r>
            <w:r>
              <w:rPr>
                <w:rFonts w:ascii="Arial" w:eastAsiaTheme="minorEastAsia" w:hAnsi="Arial" w:cs="Arial"/>
                <w:sz w:val="18"/>
                <w:szCs w:val="18"/>
                <w:vertAlign w:val="superscript"/>
                <w:lang w:val="en-US"/>
              </w:rPr>
              <w:t>15</w:t>
            </w:r>
            <w:r>
              <w:rPr>
                <w:rFonts w:ascii="Arial" w:eastAsiaTheme="minorEastAsia" w:hAnsi="Arial" w:cs="Arial"/>
                <w:sz w:val="18"/>
                <w:szCs w:val="18"/>
                <w:lang w:val="en-US"/>
              </w:rPr>
              <w:t xml:space="preserve"> Bq</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Cobalt-60 source was used for conducting research. Irradiation reference standard and routine</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dosimetry were done with the Fricke system (ASTM E1026-13</w:t>
            </w:r>
            <w:r>
              <w:rPr>
                <w:rFonts w:ascii="Arial" w:eastAsiaTheme="minorEastAsia" w:hAnsi="Arial" w:cs="Arial"/>
                <w:sz w:val="18"/>
                <w:szCs w:val="18"/>
                <w:lang w:val="en-US" w:eastAsia="zh-CN"/>
              </w:rPr>
              <w:t>, 2002).</w:t>
            </w:r>
          </w:p>
          <w:p w14:paraId="3C3646BE" w14:textId="77777777" w:rsidR="00617493" w:rsidRDefault="00000000">
            <w:pPr>
              <w:widowControl w:val="0"/>
              <w:autoSpaceDE w:val="0"/>
              <w:autoSpaceDN w:val="0"/>
              <w:adjustRightInd w:val="0"/>
              <w:spacing w:beforeLines="50" w:before="120" w:afterLines="50" w:after="120"/>
              <w:jc w:val="left"/>
              <w:rPr>
                <w:rFonts w:ascii="URWPalladioL-Roma" w:eastAsiaTheme="minorEastAsia" w:hAnsi="URWPalladioL-Roma" w:cs="URWPalladioL-Roma"/>
                <w:sz w:val="20"/>
                <w:szCs w:val="20"/>
                <w:lang w:val="en-US"/>
              </w:rPr>
            </w:pPr>
            <w:r>
              <w:rPr>
                <w:rFonts w:ascii="Arial" w:eastAsiaTheme="minorEastAsia" w:hAnsi="Arial" w:cs="Arial"/>
                <w:sz w:val="18"/>
                <w:szCs w:val="18"/>
                <w:lang w:val="en-US"/>
              </w:rPr>
              <w:t>All the MA treatments were conducted in</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the four-liter gastight airbags (Dalian Delin Gas Packaging Co., Ltd, Dalian, China). For</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each treatment, three or four plastic boxes containing the insect samples (irradiated or none)</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were placed into one gastight airbag through the opening (at the bottom), followed by the</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sealing of the airbag, exhausting all the air with a diaphragm pump, and injecting 1% or 2%</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O</w:t>
            </w:r>
            <w:r>
              <w:rPr>
                <w:rFonts w:ascii="Arial" w:eastAsiaTheme="minorEastAsia" w:hAnsi="Arial" w:cs="Arial"/>
                <w:sz w:val="18"/>
                <w:szCs w:val="18"/>
                <w:vertAlign w:val="subscript"/>
                <w:lang w:eastAsia="zh-CN"/>
              </w:rPr>
              <w:t>2</w:t>
            </w:r>
            <w:r>
              <w:rPr>
                <w:rFonts w:ascii="Arial" w:eastAsiaTheme="minorEastAsia" w:hAnsi="Arial" w:cs="Arial"/>
                <w:sz w:val="18"/>
                <w:szCs w:val="18"/>
                <w:lang w:val="en-US"/>
              </w:rPr>
              <w:t xml:space="preserve"> (with N</w:t>
            </w:r>
            <w:r>
              <w:rPr>
                <w:rFonts w:ascii="Arial" w:eastAsiaTheme="minorEastAsia" w:hAnsi="Arial" w:cs="Arial"/>
                <w:sz w:val="18"/>
                <w:szCs w:val="18"/>
                <w:vertAlign w:val="subscript"/>
                <w:lang w:eastAsia="zh-CN"/>
              </w:rPr>
              <w:t>2</w:t>
            </w:r>
            <w:r>
              <w:rPr>
                <w:rFonts w:ascii="Arial" w:eastAsiaTheme="minorEastAsia" w:hAnsi="Arial" w:cs="Arial"/>
                <w:sz w:val="18"/>
                <w:szCs w:val="18"/>
                <w:lang w:val="en-US"/>
              </w:rPr>
              <w:t xml:space="preserve"> balance) (Beijing Green Oxygen Tiangang Technology Development Co., Ltd,</w:t>
            </w:r>
            <w:r>
              <w:rPr>
                <w:rFonts w:ascii="Arial" w:eastAsiaTheme="minorEastAsia" w:hAnsi="Arial" w:cs="Arial"/>
                <w:sz w:val="18"/>
                <w:szCs w:val="18"/>
                <w:lang w:val="en-US" w:eastAsia="zh-CN"/>
              </w:rPr>
              <w:t xml:space="preserve"> </w:t>
            </w:r>
            <w:r>
              <w:rPr>
                <w:rFonts w:ascii="Arial" w:eastAsiaTheme="minorEastAsia" w:hAnsi="Arial" w:cs="Arial"/>
                <w:sz w:val="18"/>
                <w:szCs w:val="18"/>
                <w:lang w:val="en-US"/>
              </w:rPr>
              <w:t>Beijing, China) into the airbag and kept it for a few minutes.</w:t>
            </w:r>
          </w:p>
        </w:tc>
      </w:tr>
      <w:tr w:rsidR="00617493" w14:paraId="6FFA4D52" w14:textId="77777777">
        <w:trPr>
          <w:jc w:val="center"/>
        </w:trPr>
        <w:tc>
          <w:tcPr>
            <w:tcW w:w="0" w:type="auto"/>
            <w:shd w:val="clear" w:color="auto" w:fill="D9E8FF"/>
          </w:tcPr>
          <w:p w14:paraId="2BD0452B" w14:textId="77777777" w:rsidR="00617493" w:rsidRDefault="00000000">
            <w:pPr>
              <w:rPr>
                <w:rFonts w:ascii="Arial" w:eastAsia="Times" w:hAnsi="Arial"/>
                <w:sz w:val="18"/>
                <w:szCs w:val="18"/>
              </w:rPr>
            </w:pPr>
            <w:r>
              <w:rPr>
                <w:rFonts w:ascii="Arial" w:eastAsia="Times" w:hAnsi="Arial"/>
                <w:sz w:val="18"/>
                <w:szCs w:val="18"/>
              </w:rPr>
              <w:t>Experimental design</w:t>
            </w:r>
          </w:p>
        </w:tc>
      </w:tr>
      <w:tr w:rsidR="00617493" w14:paraId="16A16A75" w14:textId="77777777">
        <w:trPr>
          <w:jc w:val="center"/>
        </w:trPr>
        <w:tc>
          <w:tcPr>
            <w:tcW w:w="0" w:type="auto"/>
            <w:tcBorders>
              <w:bottom w:val="single" w:sz="4" w:space="0" w:color="auto"/>
            </w:tcBorders>
          </w:tcPr>
          <w:p w14:paraId="707546A9"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b/>
                <w:bCs/>
                <w:sz w:val="18"/>
                <w:szCs w:val="18"/>
              </w:rPr>
              <w:t>Gamma radiation of adults and mixed-aged larvae.</w:t>
            </w:r>
            <w:r>
              <w:rPr>
                <w:rFonts w:ascii="Arial" w:eastAsia="Times" w:hAnsi="Arial"/>
                <w:sz w:val="18"/>
                <w:szCs w:val="18"/>
              </w:rPr>
              <w:t xml:space="preserve"> To compare the </w:t>
            </w:r>
            <w:r>
              <w:rPr>
                <w:rFonts w:ascii="Arial" w:eastAsiaTheme="minorEastAsia" w:hAnsi="Arial" w:cs="Arial"/>
                <w:sz w:val="18"/>
                <w:szCs w:val="18"/>
                <w:lang w:val="en-US"/>
              </w:rPr>
              <w:t>radiation</w:t>
            </w:r>
            <w:r>
              <w:rPr>
                <w:rFonts w:ascii="Arial" w:eastAsiaTheme="minorEastAsia" w:hAnsi="Arial" w:hint="eastAsia"/>
                <w:sz w:val="18"/>
                <w:szCs w:val="18"/>
                <w:lang w:eastAsia="zh-CN"/>
              </w:rPr>
              <w:t xml:space="preserve"> </w:t>
            </w:r>
            <w:r>
              <w:rPr>
                <w:rFonts w:ascii="Arial" w:eastAsia="Times" w:hAnsi="Arial"/>
                <w:sz w:val="18"/>
                <w:szCs w:val="18"/>
              </w:rPr>
              <w:t>tolerance to mortality, newly emergence adults and mixed-aged larvae (middle to late-aged stage)</w:t>
            </w:r>
            <w:r>
              <w:rPr>
                <w:rFonts w:ascii="Arial" w:eastAsiaTheme="minorEastAsia" w:hAnsi="Arial" w:hint="eastAsia"/>
                <w:sz w:val="18"/>
                <w:szCs w:val="18"/>
                <w:lang w:eastAsia="zh-CN"/>
              </w:rPr>
              <w:t xml:space="preserve"> </w:t>
            </w:r>
            <w:r>
              <w:rPr>
                <w:rFonts w:ascii="Arial" w:eastAsia="Times" w:hAnsi="Arial"/>
                <w:sz w:val="18"/>
                <w:szCs w:val="18"/>
              </w:rPr>
              <w:t xml:space="preserve">of </w:t>
            </w:r>
            <w:r>
              <w:rPr>
                <w:rFonts w:ascii="Arial" w:eastAsia="Times" w:hAnsi="Arial"/>
                <w:i/>
                <w:iCs/>
                <w:sz w:val="18"/>
                <w:szCs w:val="18"/>
              </w:rPr>
              <w:t>T. granarium</w:t>
            </w:r>
            <w:r>
              <w:rPr>
                <w:rFonts w:ascii="Arial" w:eastAsia="Times" w:hAnsi="Arial"/>
                <w:sz w:val="18"/>
                <w:szCs w:val="18"/>
              </w:rPr>
              <w:t xml:space="preserve"> were exposed to gamma radiation at the dose of 200, 400, and 600 Gy,</w:t>
            </w:r>
            <w:r>
              <w:rPr>
                <w:rFonts w:ascii="Arial" w:eastAsiaTheme="minorEastAsia" w:hAnsi="Arial" w:hint="eastAsia"/>
                <w:sz w:val="18"/>
                <w:szCs w:val="18"/>
                <w:lang w:eastAsia="zh-CN"/>
              </w:rPr>
              <w:t xml:space="preserve"> </w:t>
            </w:r>
            <w:r>
              <w:rPr>
                <w:rFonts w:ascii="Arial" w:eastAsia="Times" w:hAnsi="Arial"/>
                <w:sz w:val="18"/>
                <w:szCs w:val="18"/>
              </w:rPr>
              <w:t>respectively. Each of the doses was replicated three times, and the mortality was checked</w:t>
            </w:r>
            <w:r>
              <w:rPr>
                <w:rFonts w:ascii="Arial" w:eastAsiaTheme="minorEastAsia" w:hAnsi="Arial" w:hint="eastAsia"/>
                <w:sz w:val="18"/>
                <w:szCs w:val="18"/>
                <w:lang w:eastAsia="zh-CN"/>
              </w:rPr>
              <w:t xml:space="preserve"> </w:t>
            </w:r>
            <w:r>
              <w:rPr>
                <w:rFonts w:ascii="Arial" w:eastAsia="Times" w:hAnsi="Arial"/>
                <w:sz w:val="18"/>
                <w:szCs w:val="18"/>
              </w:rPr>
              <w:t>on 7, 14, 21, and 28-d after treatment.</w:t>
            </w:r>
          </w:p>
          <w:p w14:paraId="5E24B59B" w14:textId="77777777" w:rsidR="00617493" w:rsidRDefault="00000000">
            <w:pPr>
              <w:rPr>
                <w:rFonts w:ascii="Arial" w:eastAsia="Times" w:hAnsi="Arial"/>
                <w:sz w:val="18"/>
                <w:szCs w:val="18"/>
              </w:rPr>
            </w:pPr>
            <w:r>
              <w:rPr>
                <w:rFonts w:ascii="Arial" w:eastAsia="Times" w:hAnsi="Arial"/>
                <w:b/>
                <w:bCs/>
                <w:sz w:val="18"/>
                <w:szCs w:val="18"/>
              </w:rPr>
              <w:t>Gamma radiation combination with MA treatments of adults and mixed-aged larvae.</w:t>
            </w:r>
            <w:r>
              <w:rPr>
                <w:rFonts w:ascii="Arial" w:eastAsiaTheme="minorEastAsia" w:hAnsi="Arial" w:hint="eastAsia"/>
                <w:sz w:val="18"/>
                <w:szCs w:val="18"/>
                <w:lang w:eastAsia="zh-CN"/>
              </w:rPr>
              <w:t xml:space="preserve"> </w:t>
            </w:r>
            <w:r>
              <w:rPr>
                <w:rFonts w:ascii="Arial" w:eastAsia="Times" w:hAnsi="Arial"/>
                <w:sz w:val="18"/>
                <w:szCs w:val="18"/>
              </w:rPr>
              <w:t>In order to compare tolerance to MA-irradiation combined treatment, the adults and</w:t>
            </w:r>
            <w:r>
              <w:rPr>
                <w:rFonts w:ascii="Arial" w:eastAsiaTheme="minorEastAsia" w:hAnsi="Arial" w:hint="eastAsia"/>
                <w:sz w:val="18"/>
                <w:szCs w:val="18"/>
                <w:lang w:eastAsia="zh-CN"/>
              </w:rPr>
              <w:t xml:space="preserve"> </w:t>
            </w:r>
            <w:r>
              <w:rPr>
                <w:rFonts w:ascii="Arial" w:eastAsia="Times" w:hAnsi="Arial"/>
                <w:sz w:val="18"/>
                <w:szCs w:val="18"/>
              </w:rPr>
              <w:t>mixed-aged larvae were treated under 1% O</w:t>
            </w:r>
            <w:r>
              <w:rPr>
                <w:rFonts w:ascii="Arial" w:eastAsia="Times" w:hAnsi="Arial"/>
                <w:sz w:val="18"/>
                <w:szCs w:val="18"/>
                <w:vertAlign w:val="subscript"/>
              </w:rPr>
              <w:t xml:space="preserve">2 </w:t>
            </w:r>
            <w:r>
              <w:rPr>
                <w:rFonts w:ascii="Arial" w:eastAsia="Times" w:hAnsi="Arial"/>
                <w:sz w:val="18"/>
                <w:szCs w:val="18"/>
              </w:rPr>
              <w:t>atmosphere for the exposure time of 7, 14,</w:t>
            </w:r>
            <w:r>
              <w:rPr>
                <w:rFonts w:ascii="Arial" w:eastAsiaTheme="minorEastAsia" w:hAnsi="Arial" w:hint="eastAsia"/>
                <w:sz w:val="18"/>
                <w:szCs w:val="18"/>
                <w:lang w:eastAsia="zh-CN"/>
              </w:rPr>
              <w:t xml:space="preserve"> </w:t>
            </w:r>
            <w:r>
              <w:rPr>
                <w:rFonts w:ascii="Arial" w:eastAsia="Times" w:hAnsi="Arial"/>
                <w:sz w:val="18"/>
                <w:szCs w:val="18"/>
              </w:rPr>
              <w:t>and 21-d, respectively, after gamma irradiation at the dose of 200, 400, and 600 Gy. Each of</w:t>
            </w:r>
            <w:r>
              <w:rPr>
                <w:rFonts w:ascii="Arial" w:eastAsia="宋体" w:hAnsi="Arial" w:hint="eastAsia"/>
                <w:sz w:val="18"/>
                <w:szCs w:val="18"/>
                <w:lang w:val="en-US" w:eastAsia="zh-CN"/>
              </w:rPr>
              <w:t xml:space="preserve"> </w:t>
            </w:r>
            <w:r>
              <w:rPr>
                <w:rFonts w:ascii="Arial" w:eastAsia="Times" w:hAnsi="Arial"/>
                <w:sz w:val="18"/>
                <w:szCs w:val="18"/>
              </w:rPr>
              <w:t>the time-dose combinations was replicated three times.</w:t>
            </w:r>
          </w:p>
          <w:p w14:paraId="4157F105"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b/>
                <w:bCs/>
                <w:sz w:val="18"/>
                <w:szCs w:val="18"/>
              </w:rPr>
              <w:t>MA in combination with X-ray radiation treatments of adults, middle-, and late-aged</w:t>
            </w:r>
            <w:r>
              <w:rPr>
                <w:rFonts w:ascii="Arial" w:eastAsiaTheme="minorEastAsia" w:hAnsi="Arial" w:hint="eastAsia"/>
                <w:b/>
                <w:bCs/>
                <w:sz w:val="18"/>
                <w:szCs w:val="18"/>
                <w:lang w:eastAsia="zh-CN"/>
              </w:rPr>
              <w:t xml:space="preserve"> </w:t>
            </w:r>
            <w:r>
              <w:rPr>
                <w:rFonts w:ascii="Arial" w:eastAsia="Times" w:hAnsi="Arial"/>
                <w:b/>
                <w:bCs/>
                <w:sz w:val="18"/>
                <w:szCs w:val="18"/>
              </w:rPr>
              <w:t>larvae.</w:t>
            </w:r>
            <w:r>
              <w:rPr>
                <w:rFonts w:ascii="Arial" w:eastAsia="Times" w:hAnsi="Arial"/>
                <w:sz w:val="18"/>
                <w:szCs w:val="18"/>
              </w:rPr>
              <w:t xml:space="preserve"> The </w:t>
            </w:r>
            <w:r>
              <w:rPr>
                <w:rFonts w:ascii="Arial" w:eastAsiaTheme="minorEastAsia" w:hAnsi="Arial" w:cs="Arial"/>
                <w:sz w:val="18"/>
                <w:szCs w:val="18"/>
                <w:lang w:val="en-US"/>
              </w:rPr>
              <w:t>adults</w:t>
            </w:r>
            <w:r>
              <w:rPr>
                <w:rFonts w:ascii="Arial" w:eastAsia="Times" w:hAnsi="Arial"/>
                <w:sz w:val="18"/>
                <w:szCs w:val="18"/>
              </w:rPr>
              <w:t>, middle- and late-aged larvae were firstly treated with X-rays at</w:t>
            </w:r>
            <w:r>
              <w:rPr>
                <w:rFonts w:ascii="Arial" w:eastAsiaTheme="minorEastAsia" w:hAnsi="Arial" w:hint="eastAsia"/>
                <w:sz w:val="18"/>
                <w:szCs w:val="18"/>
                <w:lang w:eastAsia="zh-CN"/>
              </w:rPr>
              <w:t xml:space="preserve"> </w:t>
            </w:r>
            <w:r>
              <w:rPr>
                <w:rFonts w:ascii="Arial" w:eastAsia="Times" w:hAnsi="Arial"/>
                <w:sz w:val="18"/>
                <w:szCs w:val="18"/>
              </w:rPr>
              <w:t>the same dose of 200, 400, and 600 Gy, respectively, and then subject to 1% O</w:t>
            </w:r>
            <w:r>
              <w:rPr>
                <w:rFonts w:ascii="Arial" w:eastAsia="Times" w:hAnsi="Arial"/>
                <w:sz w:val="18"/>
                <w:szCs w:val="18"/>
                <w:vertAlign w:val="subscript"/>
              </w:rPr>
              <w:t>2</w:t>
            </w:r>
            <w:r>
              <w:rPr>
                <w:rFonts w:ascii="Arial" w:eastAsia="Times" w:hAnsi="Arial"/>
                <w:sz w:val="18"/>
                <w:szCs w:val="18"/>
              </w:rPr>
              <w:t xml:space="preserve"> atmosphere</w:t>
            </w:r>
            <w:r>
              <w:rPr>
                <w:rFonts w:ascii="Arial" w:eastAsiaTheme="minorEastAsia" w:hAnsi="Arial" w:hint="eastAsia"/>
                <w:sz w:val="18"/>
                <w:szCs w:val="18"/>
                <w:lang w:eastAsia="zh-CN"/>
              </w:rPr>
              <w:t xml:space="preserve"> </w:t>
            </w:r>
            <w:r>
              <w:rPr>
                <w:rFonts w:ascii="Arial" w:eastAsia="Times" w:hAnsi="Arial"/>
                <w:sz w:val="18"/>
                <w:szCs w:val="18"/>
              </w:rPr>
              <w:t>treatment with the exposure time of 3, 6, and 9-d, respectively.</w:t>
            </w:r>
            <w:r>
              <w:rPr>
                <w:rFonts w:ascii="Arial" w:eastAsia="宋体" w:hAnsi="Arial" w:hint="eastAsia"/>
                <w:sz w:val="18"/>
                <w:szCs w:val="18"/>
                <w:lang w:val="en-US" w:eastAsia="zh-CN"/>
              </w:rPr>
              <w:t xml:space="preserve"> </w:t>
            </w:r>
            <w:r>
              <w:rPr>
                <w:rFonts w:ascii="Arial" w:eastAsia="Times" w:hAnsi="Arial" w:hint="eastAsia"/>
                <w:sz w:val="18"/>
                <w:szCs w:val="18"/>
              </w:rPr>
              <w:t>Each of the dose-time combinations was replicated three times.</w:t>
            </w:r>
          </w:p>
          <w:p w14:paraId="65C6345E"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b/>
                <w:bCs/>
                <w:sz w:val="18"/>
                <w:szCs w:val="18"/>
              </w:rPr>
              <w:t>Dose-response test of MA alone or in combination with X-ray treatment of late-aged</w:t>
            </w:r>
            <w:r>
              <w:rPr>
                <w:rFonts w:ascii="Arial" w:eastAsiaTheme="minorEastAsia" w:hAnsi="Arial" w:hint="eastAsia"/>
                <w:b/>
                <w:bCs/>
                <w:sz w:val="18"/>
                <w:szCs w:val="18"/>
                <w:lang w:eastAsia="zh-CN"/>
              </w:rPr>
              <w:t xml:space="preserve"> </w:t>
            </w:r>
            <w:r>
              <w:rPr>
                <w:rFonts w:ascii="Arial" w:eastAsia="Times" w:hAnsi="Arial"/>
                <w:b/>
                <w:bCs/>
                <w:sz w:val="18"/>
                <w:szCs w:val="18"/>
              </w:rPr>
              <w:t xml:space="preserve">larvae. </w:t>
            </w:r>
            <w:r>
              <w:rPr>
                <w:rFonts w:ascii="Arial" w:eastAsia="Times" w:hAnsi="Arial" w:hint="eastAsia"/>
                <w:sz w:val="18"/>
                <w:szCs w:val="18"/>
              </w:rPr>
              <w:t xml:space="preserve">To </w:t>
            </w:r>
            <w:r>
              <w:rPr>
                <w:rFonts w:ascii="Arial" w:eastAsiaTheme="minorEastAsia" w:hAnsi="Arial" w:cs="Arial" w:hint="eastAsia"/>
                <w:sz w:val="18"/>
                <w:szCs w:val="18"/>
                <w:lang w:val="en-US"/>
              </w:rPr>
              <w:t>estimate</w:t>
            </w:r>
            <w:r>
              <w:rPr>
                <w:rFonts w:ascii="Arial" w:eastAsia="Times" w:hAnsi="Arial" w:hint="eastAsia"/>
                <w:sz w:val="18"/>
                <w:szCs w:val="18"/>
              </w:rPr>
              <w:t xml:space="preserve"> the lethal time of LT</w:t>
            </w:r>
            <w:r>
              <w:rPr>
                <w:rFonts w:ascii="Arial" w:eastAsiaTheme="minorEastAsia" w:hAnsi="Arial" w:cs="Arial" w:hint="eastAsia"/>
                <w:sz w:val="18"/>
                <w:szCs w:val="18"/>
                <w:vertAlign w:val="subscript"/>
                <w:lang w:eastAsia="zh-CN"/>
              </w:rPr>
              <w:t>90</w:t>
            </w:r>
            <w:r>
              <w:rPr>
                <w:rFonts w:ascii="Arial" w:eastAsia="Times" w:hAnsi="Arial" w:hint="eastAsia"/>
                <w:sz w:val="18"/>
                <w:szCs w:val="18"/>
              </w:rPr>
              <w:t xml:space="preserve"> (the minimum lethal time leading to 90% mortality at a specific confidence level (i.e., 90%, 95%, 99%, where 95% confidence level was used for all the estimations in this research), LT</w:t>
            </w:r>
            <w:r>
              <w:rPr>
                <w:rFonts w:ascii="Arial" w:eastAsiaTheme="minorEastAsia" w:hAnsi="Arial" w:cs="Arial" w:hint="eastAsia"/>
                <w:sz w:val="18"/>
                <w:szCs w:val="18"/>
                <w:vertAlign w:val="subscript"/>
                <w:lang w:eastAsia="zh-CN"/>
              </w:rPr>
              <w:t>99</w:t>
            </w:r>
            <w:r>
              <w:rPr>
                <w:rFonts w:ascii="Arial" w:eastAsia="Times" w:hAnsi="Arial" w:hint="eastAsia"/>
                <w:sz w:val="18"/>
                <w:szCs w:val="18"/>
              </w:rPr>
              <w:t xml:space="preserve"> and LT</w:t>
            </w:r>
            <w:r>
              <w:rPr>
                <w:rFonts w:ascii="Arial" w:eastAsiaTheme="minorEastAsia" w:hAnsi="Arial" w:cs="Arial" w:hint="eastAsia"/>
                <w:sz w:val="18"/>
                <w:szCs w:val="18"/>
                <w:vertAlign w:val="subscript"/>
                <w:lang w:eastAsia="zh-CN"/>
              </w:rPr>
              <w:t>99.9968</w:t>
            </w:r>
            <w:r>
              <w:rPr>
                <w:rFonts w:ascii="Arial" w:eastAsia="Times" w:hAnsi="Arial" w:hint="eastAsia"/>
                <w:sz w:val="18"/>
                <w:szCs w:val="18"/>
              </w:rPr>
              <w:t xml:space="preserve"> of the khapra beetle, middle- and late-aged larvae were respectively subjected to 1% or 2% O</w:t>
            </w:r>
            <w:r>
              <w:rPr>
                <w:rFonts w:ascii="Arial" w:eastAsia="Times" w:hAnsi="Arial" w:hint="eastAsia"/>
                <w:sz w:val="18"/>
                <w:szCs w:val="18"/>
                <w:vertAlign w:val="subscript"/>
              </w:rPr>
              <w:t>2</w:t>
            </w:r>
            <w:r>
              <w:rPr>
                <w:rFonts w:ascii="Arial" w:eastAsia="Times" w:hAnsi="Arial" w:hint="eastAsia"/>
                <w:sz w:val="18"/>
                <w:szCs w:val="18"/>
              </w:rPr>
              <w:t xml:space="preserve"> MA treatment alone or in</w:t>
            </w:r>
            <w:r>
              <w:rPr>
                <w:rFonts w:ascii="Arial" w:eastAsia="宋体" w:hAnsi="Arial" w:hint="eastAsia"/>
                <w:sz w:val="18"/>
                <w:szCs w:val="18"/>
                <w:lang w:val="en-US" w:eastAsia="zh-CN"/>
              </w:rPr>
              <w:t xml:space="preserve"> </w:t>
            </w:r>
            <w:r>
              <w:rPr>
                <w:rFonts w:ascii="Arial" w:eastAsia="Times" w:hAnsi="Arial" w:hint="eastAsia"/>
                <w:sz w:val="18"/>
                <w:szCs w:val="18"/>
              </w:rPr>
              <w:t>combination with 200 Gy X-ray radiation. The experimental design and exposure times for the dose-response tests are listed in Table 1, where the insects without any treatment were used as control, and each of the exposure times was replicated four times.</w:t>
            </w:r>
          </w:p>
          <w:p w14:paraId="7FD3D508" w14:textId="77777777" w:rsidR="00617493" w:rsidRDefault="00000000">
            <w:pPr>
              <w:rPr>
                <w:rFonts w:ascii="Arial" w:eastAsia="Times" w:hAnsi="Arial"/>
                <w:sz w:val="18"/>
                <w:szCs w:val="18"/>
              </w:rPr>
            </w:pPr>
            <w:r>
              <w:rPr>
                <w:rFonts w:ascii="Arial" w:eastAsia="Times" w:hAnsi="Arial" w:hint="eastAsia"/>
                <w:sz w:val="18"/>
                <w:szCs w:val="18"/>
              </w:rPr>
              <w:object w:dxaOrig="9354" w:dyaOrig="2811" w14:anchorId="7CFCB717">
                <v:shape id="_x0000_i1026" type="#_x0000_t75" style="width:468pt;height:140.4pt" o:ole="">
                  <v:imagedata r:id="rId17" o:title=""/>
                  <o:lock v:ext="edit" aspectratio="f"/>
                </v:shape>
                <o:OLEObject Type="Embed" ProgID="Word.Document.8" ShapeID="_x0000_i1026" DrawAspect="Content" ObjectID="_1753520549" r:id="rId18"/>
              </w:object>
            </w:r>
          </w:p>
          <w:p w14:paraId="7CA0A0C5" w14:textId="77777777" w:rsidR="00617493" w:rsidRDefault="00000000">
            <w:pPr>
              <w:rPr>
                <w:rFonts w:ascii="Arial" w:eastAsia="Times" w:hAnsi="Arial"/>
                <w:sz w:val="18"/>
                <w:szCs w:val="18"/>
              </w:rPr>
            </w:pPr>
            <w:r>
              <w:rPr>
                <w:rFonts w:ascii="Arial" w:eastAsia="Times" w:hAnsi="Arial" w:hint="eastAsia"/>
                <w:b/>
                <w:bCs/>
                <w:sz w:val="18"/>
                <w:szCs w:val="18"/>
              </w:rPr>
              <w:t>Confirmatory tests.</w:t>
            </w:r>
            <w:r>
              <w:rPr>
                <w:rFonts w:ascii="Arial" w:eastAsia="Times" w:hAnsi="Arial" w:hint="eastAsia"/>
                <w:sz w:val="18"/>
                <w:szCs w:val="18"/>
              </w:rPr>
              <w:t xml:space="preserve"> To validate the estimated minimum time for probit 9 mortality of </w:t>
            </w:r>
            <w:r>
              <w:rPr>
                <w:rFonts w:ascii="Arial" w:eastAsia="Times" w:hAnsi="Arial" w:hint="eastAsia"/>
                <w:i/>
                <w:iCs/>
                <w:sz w:val="18"/>
                <w:szCs w:val="18"/>
              </w:rPr>
              <w:t>T. granarium</w:t>
            </w:r>
            <w:r>
              <w:rPr>
                <w:rFonts w:ascii="Arial" w:eastAsia="Times" w:hAnsi="Arial" w:hint="eastAsia"/>
                <w:sz w:val="18"/>
                <w:szCs w:val="18"/>
              </w:rPr>
              <w:t xml:space="preserve"> late-aged larvae, a preliminary validating test was first conducted to determine efficient exposure times used in the following tests. A total of 30,000 (each of 10,000, counted before testing) late-aged larvae were irradiated at 200 Gy, then exposed to 1% O</w:t>
            </w:r>
            <w:r>
              <w:rPr>
                <w:rFonts w:ascii="Arial" w:eastAsia="Times" w:hAnsi="Arial" w:hint="eastAsia"/>
                <w:sz w:val="18"/>
                <w:szCs w:val="18"/>
                <w:vertAlign w:val="subscript"/>
              </w:rPr>
              <w:t>2</w:t>
            </w:r>
            <w:r>
              <w:rPr>
                <w:rFonts w:ascii="Arial" w:eastAsia="Times" w:hAnsi="Arial" w:hint="eastAsia"/>
                <w:sz w:val="18"/>
                <w:szCs w:val="18"/>
              </w:rPr>
              <w:t xml:space="preserve"> MA treatment for 13-, 14-, and 15-d, respectively. After then, the exposure time of 15-d was used to perform the remaining confirmatory testing.</w:t>
            </w:r>
          </w:p>
          <w:p w14:paraId="394491FD" w14:textId="77777777" w:rsidR="00617493" w:rsidRDefault="00617493">
            <w:pPr>
              <w:rPr>
                <w:rFonts w:ascii="Arial" w:eastAsia="Times" w:hAnsi="Arial"/>
                <w:sz w:val="18"/>
                <w:szCs w:val="18"/>
              </w:rPr>
            </w:pPr>
          </w:p>
        </w:tc>
      </w:tr>
      <w:tr w:rsidR="00617493" w14:paraId="7AF914CE" w14:textId="77777777">
        <w:trPr>
          <w:jc w:val="center"/>
        </w:trPr>
        <w:tc>
          <w:tcPr>
            <w:tcW w:w="0" w:type="auto"/>
            <w:shd w:val="clear" w:color="auto" w:fill="D9E8FF"/>
          </w:tcPr>
          <w:p w14:paraId="497DD249" w14:textId="77777777" w:rsidR="00617493" w:rsidRDefault="00000000">
            <w:pPr>
              <w:rPr>
                <w:rFonts w:ascii="Arial" w:eastAsia="Times" w:hAnsi="Arial"/>
                <w:sz w:val="18"/>
                <w:szCs w:val="18"/>
              </w:rPr>
            </w:pPr>
            <w:r>
              <w:rPr>
                <w:rFonts w:ascii="Arial" w:eastAsia="Times" w:hAnsi="Arial"/>
                <w:sz w:val="18"/>
                <w:szCs w:val="18"/>
              </w:rPr>
              <w:lastRenderedPageBreak/>
              <w:t>Experimental conditions</w:t>
            </w:r>
          </w:p>
        </w:tc>
      </w:tr>
      <w:tr w:rsidR="00617493" w14:paraId="59B7F073" w14:textId="77777777">
        <w:trPr>
          <w:jc w:val="center"/>
        </w:trPr>
        <w:tc>
          <w:tcPr>
            <w:tcW w:w="0" w:type="auto"/>
            <w:tcBorders>
              <w:bottom w:val="single" w:sz="4" w:space="0" w:color="auto"/>
            </w:tcBorders>
          </w:tcPr>
          <w:p w14:paraId="40A01E51"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sz w:val="18"/>
                <w:szCs w:val="18"/>
              </w:rPr>
              <w:t xml:space="preserve">The insects were reared in the bottles by keeping the </w:t>
            </w:r>
            <w:r>
              <w:rPr>
                <w:rFonts w:ascii="Arial" w:eastAsiaTheme="minorEastAsia" w:hAnsi="Arial" w:cs="Arial"/>
                <w:sz w:val="18"/>
                <w:szCs w:val="18"/>
                <w:lang w:val="en-US"/>
              </w:rPr>
              <w:t>condition</w:t>
            </w:r>
            <w:r>
              <w:rPr>
                <w:rFonts w:ascii="Arial" w:eastAsia="Times" w:hAnsi="Arial"/>
                <w:sz w:val="18"/>
                <w:szCs w:val="18"/>
              </w:rPr>
              <w:t xml:space="preserve"> at 35</w:t>
            </w:r>
            <w:r>
              <w:rPr>
                <w:rFonts w:asciiTheme="minorEastAsia" w:eastAsiaTheme="minorEastAsia" w:hAnsiTheme="minorEastAsia" w:hint="eastAsia"/>
                <w:sz w:val="18"/>
                <w:szCs w:val="18"/>
                <w:lang w:eastAsia="zh-CN"/>
              </w:rPr>
              <w:t>±</w:t>
            </w:r>
            <w:r>
              <w:rPr>
                <w:rFonts w:ascii="Arial" w:eastAsia="Times" w:hAnsi="Arial"/>
                <w:sz w:val="18"/>
                <w:szCs w:val="18"/>
              </w:rPr>
              <w:t>1 °C and 65</w:t>
            </w:r>
            <w:r>
              <w:rPr>
                <w:rFonts w:asciiTheme="minorEastAsia" w:eastAsiaTheme="minorEastAsia" w:hAnsiTheme="minorEastAsia" w:hint="eastAsia"/>
                <w:sz w:val="18"/>
                <w:szCs w:val="18"/>
                <w:lang w:eastAsia="zh-CN"/>
              </w:rPr>
              <w:t>±</w:t>
            </w:r>
            <w:r>
              <w:rPr>
                <w:rFonts w:ascii="Arial" w:eastAsia="Times" w:hAnsi="Arial"/>
                <w:sz w:val="18"/>
                <w:szCs w:val="18"/>
              </w:rPr>
              <w:t>10% R.H.in continual darkness.</w:t>
            </w:r>
          </w:p>
        </w:tc>
      </w:tr>
      <w:tr w:rsidR="00617493" w14:paraId="3E23FE06" w14:textId="77777777">
        <w:trPr>
          <w:jc w:val="center"/>
        </w:trPr>
        <w:tc>
          <w:tcPr>
            <w:tcW w:w="0" w:type="auto"/>
            <w:shd w:val="clear" w:color="auto" w:fill="D9E8FF"/>
          </w:tcPr>
          <w:p w14:paraId="0090629E" w14:textId="77777777" w:rsidR="00617493" w:rsidRDefault="00000000">
            <w:pPr>
              <w:rPr>
                <w:rFonts w:ascii="Arial" w:eastAsia="Times" w:hAnsi="Arial"/>
                <w:sz w:val="18"/>
                <w:szCs w:val="18"/>
              </w:rPr>
            </w:pPr>
            <w:r>
              <w:rPr>
                <w:rFonts w:ascii="Arial" w:eastAsia="Times" w:hAnsi="Arial"/>
                <w:sz w:val="18"/>
                <w:szCs w:val="18"/>
              </w:rPr>
              <w:t>Monitoring of critical parameters</w:t>
            </w:r>
          </w:p>
        </w:tc>
      </w:tr>
      <w:tr w:rsidR="00617493" w14:paraId="54F9519F" w14:textId="77777777">
        <w:trPr>
          <w:jc w:val="center"/>
        </w:trPr>
        <w:tc>
          <w:tcPr>
            <w:tcW w:w="0" w:type="auto"/>
            <w:tcBorders>
              <w:bottom w:val="single" w:sz="4" w:space="0" w:color="auto"/>
            </w:tcBorders>
          </w:tcPr>
          <w:p w14:paraId="05D4EF9F"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Absorbed dose, Dose rate, Temperature, Relative humidity, and Photoperiod</w:t>
            </w:r>
          </w:p>
        </w:tc>
      </w:tr>
      <w:tr w:rsidR="00617493" w14:paraId="201CDE58" w14:textId="77777777">
        <w:trPr>
          <w:jc w:val="center"/>
        </w:trPr>
        <w:tc>
          <w:tcPr>
            <w:tcW w:w="0" w:type="auto"/>
            <w:shd w:val="clear" w:color="auto" w:fill="D9E8FF"/>
          </w:tcPr>
          <w:p w14:paraId="7BBD16B3" w14:textId="77777777" w:rsidR="00617493"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617493" w14:paraId="771A85CD" w14:textId="77777777">
        <w:trPr>
          <w:jc w:val="center"/>
        </w:trPr>
        <w:tc>
          <w:tcPr>
            <w:tcW w:w="0" w:type="auto"/>
            <w:tcBorders>
              <w:bottom w:val="single" w:sz="4" w:space="0" w:color="auto"/>
            </w:tcBorders>
          </w:tcPr>
          <w:p w14:paraId="0E8A9FA0"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sz w:val="18"/>
                <w:szCs w:val="18"/>
              </w:rPr>
              <w:t xml:space="preserve">Mortality was evaluated based on non-movement </w:t>
            </w:r>
            <w:r>
              <w:rPr>
                <w:rFonts w:ascii="Arial" w:eastAsiaTheme="minorEastAsia" w:hAnsi="Arial" w:cs="Arial"/>
                <w:sz w:val="18"/>
                <w:szCs w:val="18"/>
                <w:lang w:val="en-US"/>
              </w:rPr>
              <w:t>with</w:t>
            </w:r>
            <w:r>
              <w:rPr>
                <w:rFonts w:ascii="Arial" w:eastAsia="Times" w:hAnsi="Arial"/>
                <w:sz w:val="18"/>
                <w:szCs w:val="18"/>
              </w:rPr>
              <w:t xml:space="preserve"> acupuncture and/or</w:t>
            </w:r>
            <w:r>
              <w:rPr>
                <w:rFonts w:ascii="Arial" w:eastAsiaTheme="minorEastAsia" w:hAnsi="Arial" w:hint="eastAsia"/>
                <w:sz w:val="18"/>
                <w:szCs w:val="18"/>
                <w:lang w:eastAsia="zh-CN"/>
              </w:rPr>
              <w:t xml:space="preserve"> </w:t>
            </w:r>
            <w:r>
              <w:rPr>
                <w:rFonts w:ascii="Arial" w:eastAsia="Times" w:hAnsi="Arial"/>
                <w:sz w:val="18"/>
                <w:szCs w:val="18"/>
              </w:rPr>
              <w:t>colour changes of the insect body.</w:t>
            </w:r>
          </w:p>
        </w:tc>
      </w:tr>
      <w:tr w:rsidR="00617493" w14:paraId="4B75B6EC" w14:textId="77777777">
        <w:trPr>
          <w:jc w:val="center"/>
        </w:trPr>
        <w:tc>
          <w:tcPr>
            <w:tcW w:w="0" w:type="auto"/>
            <w:shd w:val="clear" w:color="auto" w:fill="D9E8FF"/>
          </w:tcPr>
          <w:p w14:paraId="4F8C1104" w14:textId="77777777" w:rsidR="00617493" w:rsidRDefault="00000000">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617493" w14:paraId="128CB1BE" w14:textId="77777777">
        <w:trPr>
          <w:jc w:val="center"/>
        </w:trPr>
        <w:tc>
          <w:tcPr>
            <w:tcW w:w="0" w:type="auto"/>
            <w:tcBorders>
              <w:bottom w:val="single" w:sz="4" w:space="0" w:color="auto"/>
            </w:tcBorders>
          </w:tcPr>
          <w:p w14:paraId="7DF747DC"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 xml:space="preserve">Radiation dose </w:t>
            </w:r>
            <w:r>
              <w:rPr>
                <w:rFonts w:ascii="Arial" w:eastAsia="宋体" w:hAnsi="Arial" w:hint="eastAsia"/>
                <w:sz w:val="18"/>
                <w:szCs w:val="18"/>
                <w:lang w:val="en-US" w:eastAsia="zh-CN"/>
              </w:rPr>
              <w:t>and gas concentration are</w:t>
            </w:r>
            <w:r>
              <w:rPr>
                <w:rFonts w:ascii="Arial" w:eastAsia="Times" w:hAnsi="Arial" w:hint="eastAsia"/>
                <w:sz w:val="18"/>
                <w:szCs w:val="18"/>
              </w:rPr>
              <w:t xml:space="preserve"> critical </w:t>
            </w:r>
            <w:r>
              <w:rPr>
                <w:rFonts w:ascii="Arial" w:eastAsiaTheme="minorEastAsia" w:hAnsi="Arial" w:cs="Arial" w:hint="eastAsia"/>
                <w:sz w:val="18"/>
                <w:szCs w:val="18"/>
                <w:lang w:val="en-US"/>
              </w:rPr>
              <w:t>parameter</w:t>
            </w:r>
            <w:r>
              <w:rPr>
                <w:rFonts w:ascii="Arial" w:eastAsiaTheme="minorEastAsia" w:hAnsi="Arial" w:cs="Arial" w:hint="eastAsia"/>
                <w:sz w:val="18"/>
                <w:szCs w:val="18"/>
                <w:lang w:val="en-US" w:eastAsia="zh-CN"/>
              </w:rPr>
              <w:t>s</w:t>
            </w:r>
            <w:r>
              <w:rPr>
                <w:rFonts w:ascii="Arial" w:eastAsia="Times" w:hAnsi="Arial" w:hint="eastAsia"/>
                <w:sz w:val="18"/>
                <w:szCs w:val="18"/>
              </w:rPr>
              <w:t>.</w:t>
            </w:r>
          </w:p>
        </w:tc>
      </w:tr>
      <w:tr w:rsidR="00617493" w14:paraId="177B4A3D" w14:textId="77777777">
        <w:trPr>
          <w:jc w:val="center"/>
        </w:trPr>
        <w:tc>
          <w:tcPr>
            <w:tcW w:w="0" w:type="auto"/>
            <w:tcBorders>
              <w:bottom w:val="single" w:sz="4" w:space="0" w:color="auto"/>
            </w:tcBorders>
            <w:shd w:val="clear" w:color="auto" w:fill="D9E8FF"/>
          </w:tcPr>
          <w:p w14:paraId="3A8B9260" w14:textId="77777777" w:rsidR="00617493"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617493" w14:paraId="5D4A9E6B" w14:textId="77777777">
        <w:trPr>
          <w:jc w:val="center"/>
        </w:trPr>
        <w:tc>
          <w:tcPr>
            <w:tcW w:w="0" w:type="auto"/>
            <w:tcBorders>
              <w:bottom w:val="single" w:sz="4" w:space="0" w:color="auto"/>
            </w:tcBorders>
            <w:shd w:val="clear" w:color="auto" w:fill="auto"/>
          </w:tcPr>
          <w:p w14:paraId="6FDBC612"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N/A</w:t>
            </w:r>
          </w:p>
        </w:tc>
      </w:tr>
      <w:tr w:rsidR="00617493" w14:paraId="77543571" w14:textId="77777777">
        <w:trPr>
          <w:jc w:val="center"/>
        </w:trPr>
        <w:tc>
          <w:tcPr>
            <w:tcW w:w="0" w:type="auto"/>
            <w:shd w:val="clear" w:color="auto" w:fill="D9E8FF"/>
          </w:tcPr>
          <w:p w14:paraId="12AC4EB5" w14:textId="77777777" w:rsidR="00617493" w:rsidRDefault="00000000">
            <w:pPr>
              <w:rPr>
                <w:rFonts w:ascii="Arial" w:eastAsia="Times" w:hAnsi="Arial"/>
                <w:sz w:val="18"/>
                <w:szCs w:val="18"/>
              </w:rPr>
            </w:pPr>
            <w:r>
              <w:rPr>
                <w:rFonts w:ascii="Arial" w:eastAsia="Times" w:hAnsi="Arial"/>
                <w:sz w:val="18"/>
                <w:szCs w:val="18"/>
              </w:rPr>
              <w:t xml:space="preserve">Dosimetry system, calibration and accuracy of measurements, </w:t>
            </w:r>
          </w:p>
        </w:tc>
      </w:tr>
      <w:tr w:rsidR="00617493" w14:paraId="444312C0" w14:textId="77777777">
        <w:trPr>
          <w:jc w:val="center"/>
        </w:trPr>
        <w:tc>
          <w:tcPr>
            <w:tcW w:w="0" w:type="auto"/>
            <w:tcBorders>
              <w:bottom w:val="single" w:sz="6" w:space="0" w:color="auto"/>
            </w:tcBorders>
          </w:tcPr>
          <w:p w14:paraId="74931906"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 xml:space="preserve">A dosimeter (model 2086, RadCal Corp., CA) </w:t>
            </w:r>
            <w:r>
              <w:rPr>
                <w:rFonts w:ascii="Arial" w:eastAsiaTheme="minorEastAsia" w:hAnsi="Arial" w:cs="Arial" w:hint="eastAsia"/>
                <w:sz w:val="18"/>
                <w:szCs w:val="18"/>
                <w:lang w:val="en-US"/>
              </w:rPr>
              <w:t>with</w:t>
            </w:r>
            <w:r>
              <w:rPr>
                <w:rFonts w:ascii="Arial" w:eastAsia="Times" w:hAnsi="Arial" w:hint="eastAsia"/>
                <w:sz w:val="18"/>
                <w:szCs w:val="18"/>
              </w:rPr>
              <w:t xml:space="preserve"> a 10</w:t>
            </w:r>
            <w:r>
              <w:rPr>
                <w:rFonts w:ascii="Arial" w:eastAsia="Times" w:hAnsi="Arial" w:hint="eastAsia"/>
                <w:sz w:val="18"/>
                <w:szCs w:val="18"/>
              </w:rPr>
              <w:t>×</w:t>
            </w:r>
            <w:r>
              <w:rPr>
                <w:rFonts w:ascii="Arial" w:eastAsia="Times" w:hAnsi="Arial" w:hint="eastAsia"/>
                <w:sz w:val="18"/>
                <w:szCs w:val="18"/>
              </w:rPr>
              <w:t>6-6 Ion Beam Chamber was used to measure the absorbed dose of X-rays.</w:t>
            </w:r>
            <w:r>
              <w:rPr>
                <w:rFonts w:ascii="Arial" w:eastAsia="Times" w:hAnsi="Arial"/>
                <w:sz w:val="18"/>
                <w:szCs w:val="18"/>
              </w:rPr>
              <w:t xml:space="preserve"> </w:t>
            </w:r>
            <w:r>
              <w:rPr>
                <w:rFonts w:ascii="Arial" w:eastAsia="Times" w:hAnsi="Arial" w:hint="eastAsia"/>
                <w:sz w:val="18"/>
                <w:szCs w:val="18"/>
              </w:rPr>
              <w:t>The monitored dose rate was about 9.0 Gy/min.</w:t>
            </w:r>
          </w:p>
          <w:p w14:paraId="4A33E773"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 xml:space="preserve">The Fricke system (ASTM E1026-13 2013) was used to monitor the absorbed dose in large scale confirmatory tests. Dosages of 135 Gy and 145 Gy were respectively used for the first and two other tests, the dose uniformity ratio was of 1.35, 1.28 and 1.49, respectively.  </w:t>
            </w:r>
          </w:p>
        </w:tc>
      </w:tr>
      <w:tr w:rsidR="00617493" w14:paraId="3056C878" w14:textId="77777777">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5C331FC6" w14:textId="77777777" w:rsidR="00617493" w:rsidRDefault="00000000">
            <w:pPr>
              <w:rPr>
                <w:rFonts w:ascii="Arial" w:eastAsia="Times" w:hAnsi="Arial"/>
                <w:b/>
                <w:color w:val="FFFFFF"/>
                <w:sz w:val="18"/>
                <w:szCs w:val="18"/>
              </w:rPr>
            </w:pPr>
            <w:r>
              <w:rPr>
                <w:rFonts w:ascii="Arial" w:eastAsia="Times" w:hAnsi="Arial"/>
                <w:b/>
                <w:color w:val="FFFFFF"/>
                <w:sz w:val="18"/>
                <w:szCs w:val="18"/>
              </w:rPr>
              <w:br w:type="page"/>
              <w:t>3.2.2</w:t>
            </w:r>
            <w:r>
              <w:rPr>
                <w:rFonts w:ascii="Arial" w:eastAsia="Times" w:hAnsi="Arial"/>
                <w:b/>
                <w:color w:val="FFFFFF"/>
                <w:sz w:val="18"/>
                <w:szCs w:val="18"/>
              </w:rPr>
              <w:tab/>
              <w:t xml:space="preserve">Efficacy data using operational conditions </w:t>
            </w:r>
            <w:r>
              <w:rPr>
                <w:rFonts w:ascii="Arial" w:eastAsia="Times" w:hAnsi="Arial"/>
                <w:b/>
                <w:color w:val="FFFFFF"/>
                <w:sz w:val="18"/>
                <w:szCs w:val="18"/>
                <w:lang w:eastAsia="ja-JP"/>
              </w:rPr>
              <w:t>(historical data, may in some cases substitute for the requested information below)</w:t>
            </w:r>
          </w:p>
        </w:tc>
      </w:tr>
      <w:tr w:rsidR="00617493" w14:paraId="4712F8FD" w14:textId="77777777">
        <w:trPr>
          <w:jc w:val="center"/>
        </w:trPr>
        <w:tc>
          <w:tcPr>
            <w:tcW w:w="0" w:type="auto"/>
            <w:tcBorders>
              <w:top w:val="single" w:sz="6" w:space="0" w:color="auto"/>
              <w:bottom w:val="single" w:sz="4" w:space="0" w:color="auto"/>
            </w:tcBorders>
            <w:shd w:val="clear" w:color="auto" w:fill="B7D4FF"/>
          </w:tcPr>
          <w:p w14:paraId="0C557FC2" w14:textId="77777777" w:rsidR="00617493" w:rsidRDefault="00000000">
            <w:pPr>
              <w:rPr>
                <w:rFonts w:ascii="Arial" w:eastAsia="Times" w:hAnsi="Arial"/>
                <w:caps/>
                <w:sz w:val="18"/>
                <w:szCs w:val="18"/>
              </w:rPr>
            </w:pPr>
            <w:r>
              <w:rPr>
                <w:rFonts w:ascii="Arial" w:eastAsia="Times" w:hAnsi="Arial"/>
                <w:bCs/>
                <w:sz w:val="18"/>
                <w:szCs w:val="18"/>
              </w:rPr>
              <w:t>Pest information</w:t>
            </w:r>
          </w:p>
        </w:tc>
      </w:tr>
      <w:tr w:rsidR="00617493" w14:paraId="5A921D0D" w14:textId="77777777">
        <w:trPr>
          <w:jc w:val="center"/>
        </w:trPr>
        <w:tc>
          <w:tcPr>
            <w:tcW w:w="0" w:type="auto"/>
            <w:shd w:val="clear" w:color="auto" w:fill="D9E8FF"/>
          </w:tcPr>
          <w:p w14:paraId="3DE6CEA3" w14:textId="77777777" w:rsidR="00617493" w:rsidRDefault="00000000">
            <w:pPr>
              <w:rPr>
                <w:rFonts w:ascii="Arial" w:eastAsia="Times" w:hAnsi="Arial"/>
                <w:caps/>
                <w:sz w:val="18"/>
                <w:szCs w:val="18"/>
              </w:rPr>
            </w:pPr>
            <w:r>
              <w:rPr>
                <w:rFonts w:ascii="Arial" w:eastAsia="Times" w:hAnsi="Arial"/>
                <w:sz w:val="18"/>
                <w:szCs w:val="18"/>
              </w:rPr>
              <w:t>Identity of the pest to the appropriate level, life stage, and if a laboratory or field strain was used</w:t>
            </w:r>
          </w:p>
        </w:tc>
      </w:tr>
      <w:tr w:rsidR="00617493" w14:paraId="4572B2DE" w14:textId="77777777">
        <w:trPr>
          <w:jc w:val="center"/>
        </w:trPr>
        <w:tc>
          <w:tcPr>
            <w:tcW w:w="0" w:type="auto"/>
            <w:tcBorders>
              <w:bottom w:val="single" w:sz="4" w:space="0" w:color="auto"/>
            </w:tcBorders>
          </w:tcPr>
          <w:p w14:paraId="327173C2" w14:textId="77777777" w:rsidR="00617493" w:rsidRDefault="00617493">
            <w:pPr>
              <w:rPr>
                <w:rFonts w:ascii="Arial" w:eastAsia="Times" w:hAnsi="Arial"/>
                <w:caps/>
                <w:sz w:val="18"/>
                <w:szCs w:val="18"/>
              </w:rPr>
            </w:pPr>
          </w:p>
        </w:tc>
      </w:tr>
      <w:tr w:rsidR="00617493" w14:paraId="540EA920" w14:textId="77777777">
        <w:trPr>
          <w:jc w:val="center"/>
        </w:trPr>
        <w:tc>
          <w:tcPr>
            <w:tcW w:w="0" w:type="auto"/>
            <w:shd w:val="clear" w:color="auto" w:fill="D9E8FF"/>
          </w:tcPr>
          <w:p w14:paraId="5C44BCDF" w14:textId="77777777" w:rsidR="00617493" w:rsidRDefault="00000000">
            <w:pPr>
              <w:rPr>
                <w:rFonts w:ascii="Arial" w:eastAsia="Times" w:hAnsi="Arial"/>
                <w:caps/>
                <w:sz w:val="18"/>
                <w:szCs w:val="18"/>
              </w:rPr>
            </w:pPr>
            <w:r>
              <w:rPr>
                <w:rFonts w:ascii="Arial" w:eastAsia="Times" w:hAnsi="Arial"/>
                <w:sz w:val="18"/>
                <w:szCs w:val="18"/>
              </w:rPr>
              <w:t>Conditions under which the pests are cultured, reared or grown</w:t>
            </w:r>
          </w:p>
        </w:tc>
      </w:tr>
      <w:tr w:rsidR="00617493" w14:paraId="7BF93E9C" w14:textId="77777777">
        <w:trPr>
          <w:jc w:val="center"/>
        </w:trPr>
        <w:tc>
          <w:tcPr>
            <w:tcW w:w="0" w:type="auto"/>
            <w:tcBorders>
              <w:bottom w:val="single" w:sz="4" w:space="0" w:color="auto"/>
            </w:tcBorders>
          </w:tcPr>
          <w:p w14:paraId="517B22F7" w14:textId="77777777" w:rsidR="00617493" w:rsidRDefault="00617493">
            <w:pPr>
              <w:rPr>
                <w:rFonts w:ascii="Arial" w:eastAsia="Times" w:hAnsi="Arial"/>
                <w:caps/>
                <w:sz w:val="18"/>
                <w:szCs w:val="18"/>
              </w:rPr>
            </w:pPr>
          </w:p>
        </w:tc>
      </w:tr>
      <w:tr w:rsidR="00617493" w14:paraId="7850DA3A" w14:textId="77777777">
        <w:trPr>
          <w:jc w:val="center"/>
        </w:trPr>
        <w:tc>
          <w:tcPr>
            <w:tcW w:w="0" w:type="auto"/>
            <w:shd w:val="clear" w:color="auto" w:fill="D9E8FF"/>
          </w:tcPr>
          <w:p w14:paraId="23E3E18E" w14:textId="77777777" w:rsidR="00617493" w:rsidRDefault="00000000">
            <w:pPr>
              <w:rPr>
                <w:rFonts w:ascii="Arial" w:eastAsia="Times" w:hAnsi="Arial"/>
                <w:caps/>
                <w:sz w:val="18"/>
                <w:szCs w:val="18"/>
              </w:rPr>
            </w:pPr>
            <w:r>
              <w:rPr>
                <w:rFonts w:ascii="Arial" w:eastAsia="Times" w:hAnsi="Arial"/>
                <w:sz w:val="18"/>
                <w:szCs w:val="18"/>
              </w:rPr>
              <w:t>Biological traits of the pest relevant to the treatment</w:t>
            </w:r>
          </w:p>
        </w:tc>
      </w:tr>
      <w:tr w:rsidR="00617493" w14:paraId="76757FBA" w14:textId="77777777">
        <w:trPr>
          <w:jc w:val="center"/>
        </w:trPr>
        <w:tc>
          <w:tcPr>
            <w:tcW w:w="0" w:type="auto"/>
            <w:tcBorders>
              <w:bottom w:val="single" w:sz="4" w:space="0" w:color="auto"/>
            </w:tcBorders>
          </w:tcPr>
          <w:p w14:paraId="50D0D483" w14:textId="77777777" w:rsidR="00617493" w:rsidRDefault="00617493">
            <w:pPr>
              <w:rPr>
                <w:rFonts w:ascii="Arial" w:eastAsia="Times" w:hAnsi="Arial"/>
                <w:caps/>
                <w:sz w:val="18"/>
                <w:szCs w:val="18"/>
              </w:rPr>
            </w:pPr>
          </w:p>
        </w:tc>
      </w:tr>
      <w:tr w:rsidR="00617493" w14:paraId="095577F5" w14:textId="77777777">
        <w:trPr>
          <w:jc w:val="center"/>
        </w:trPr>
        <w:tc>
          <w:tcPr>
            <w:tcW w:w="0" w:type="auto"/>
            <w:shd w:val="clear" w:color="auto" w:fill="D9E8FF"/>
          </w:tcPr>
          <w:p w14:paraId="14B1F01E" w14:textId="77777777" w:rsidR="00617493" w:rsidRDefault="00000000">
            <w:pPr>
              <w:rPr>
                <w:rFonts w:ascii="Arial" w:eastAsia="Times" w:hAnsi="Arial"/>
                <w:caps/>
                <w:sz w:val="18"/>
                <w:szCs w:val="18"/>
              </w:rPr>
            </w:pPr>
            <w:r>
              <w:rPr>
                <w:rFonts w:ascii="Arial" w:eastAsia="Times" w:hAnsi="Arial"/>
                <w:sz w:val="18"/>
                <w:szCs w:val="18"/>
              </w:rPr>
              <w:t>Method of natural or artificial infestation</w:t>
            </w:r>
          </w:p>
        </w:tc>
      </w:tr>
      <w:tr w:rsidR="00617493" w14:paraId="0856CAC3" w14:textId="77777777">
        <w:trPr>
          <w:jc w:val="center"/>
        </w:trPr>
        <w:tc>
          <w:tcPr>
            <w:tcW w:w="0" w:type="auto"/>
            <w:tcBorders>
              <w:bottom w:val="single" w:sz="4" w:space="0" w:color="auto"/>
            </w:tcBorders>
          </w:tcPr>
          <w:p w14:paraId="2EE7A94D" w14:textId="77777777" w:rsidR="00617493" w:rsidRDefault="00617493">
            <w:pPr>
              <w:rPr>
                <w:rFonts w:ascii="Arial" w:eastAsia="Times" w:hAnsi="Arial"/>
                <w:caps/>
                <w:sz w:val="18"/>
                <w:szCs w:val="18"/>
              </w:rPr>
            </w:pPr>
          </w:p>
        </w:tc>
      </w:tr>
      <w:tr w:rsidR="00617493" w14:paraId="0A908959" w14:textId="77777777">
        <w:trPr>
          <w:jc w:val="center"/>
        </w:trPr>
        <w:tc>
          <w:tcPr>
            <w:tcW w:w="0" w:type="auto"/>
            <w:shd w:val="clear" w:color="auto" w:fill="D9E8FF"/>
          </w:tcPr>
          <w:p w14:paraId="04AD61E0" w14:textId="77777777" w:rsidR="00617493" w:rsidRDefault="00000000">
            <w:pPr>
              <w:rPr>
                <w:rFonts w:ascii="Arial" w:eastAsia="Times" w:hAnsi="Arial"/>
                <w:caps/>
                <w:sz w:val="18"/>
                <w:szCs w:val="18"/>
              </w:rPr>
            </w:pPr>
            <w:r>
              <w:rPr>
                <w:rFonts w:ascii="Arial" w:eastAsia="Times" w:hAnsi="Arial"/>
                <w:sz w:val="18"/>
                <w:szCs w:val="18"/>
              </w:rPr>
              <w:t>Determination of most resistant species/life stage (in the regulated article where appropriate)</w:t>
            </w:r>
          </w:p>
        </w:tc>
      </w:tr>
      <w:tr w:rsidR="00617493" w14:paraId="084FD01C" w14:textId="77777777">
        <w:trPr>
          <w:jc w:val="center"/>
        </w:trPr>
        <w:tc>
          <w:tcPr>
            <w:tcW w:w="0" w:type="auto"/>
            <w:tcBorders>
              <w:bottom w:val="single" w:sz="4" w:space="0" w:color="auto"/>
            </w:tcBorders>
          </w:tcPr>
          <w:p w14:paraId="65F1CCEF" w14:textId="77777777" w:rsidR="00617493" w:rsidRDefault="00617493">
            <w:pPr>
              <w:rPr>
                <w:rFonts w:ascii="Arial" w:eastAsia="Times" w:hAnsi="Arial"/>
                <w:sz w:val="18"/>
                <w:szCs w:val="18"/>
              </w:rPr>
            </w:pPr>
          </w:p>
        </w:tc>
      </w:tr>
      <w:tr w:rsidR="00617493" w14:paraId="13A12894" w14:textId="77777777">
        <w:trPr>
          <w:jc w:val="center"/>
        </w:trPr>
        <w:tc>
          <w:tcPr>
            <w:tcW w:w="0" w:type="auto"/>
            <w:tcBorders>
              <w:bottom w:val="single" w:sz="4" w:space="0" w:color="auto"/>
            </w:tcBorders>
            <w:shd w:val="clear" w:color="auto" w:fill="B7D4FF"/>
          </w:tcPr>
          <w:p w14:paraId="78EF6922" w14:textId="77777777" w:rsidR="00617493" w:rsidRDefault="00000000">
            <w:pPr>
              <w:rPr>
                <w:rFonts w:ascii="Arial" w:eastAsia="Times" w:hAnsi="Arial"/>
                <w:sz w:val="18"/>
                <w:szCs w:val="18"/>
              </w:rPr>
            </w:pPr>
            <w:r>
              <w:rPr>
                <w:rFonts w:ascii="Arial" w:eastAsia="Times" w:hAnsi="Arial"/>
                <w:bCs/>
                <w:sz w:val="18"/>
                <w:szCs w:val="18"/>
              </w:rPr>
              <w:t>Regulated article information</w:t>
            </w:r>
          </w:p>
        </w:tc>
      </w:tr>
      <w:tr w:rsidR="00617493" w14:paraId="5FD0C5D9" w14:textId="77777777">
        <w:trPr>
          <w:jc w:val="center"/>
        </w:trPr>
        <w:tc>
          <w:tcPr>
            <w:tcW w:w="0" w:type="auto"/>
            <w:shd w:val="clear" w:color="auto" w:fill="D9E8FF"/>
          </w:tcPr>
          <w:p w14:paraId="289E668C" w14:textId="77777777" w:rsidR="00617493" w:rsidRDefault="00000000">
            <w:pPr>
              <w:rPr>
                <w:rFonts w:ascii="Arial" w:eastAsia="Times" w:hAnsi="Arial"/>
                <w:sz w:val="18"/>
                <w:szCs w:val="18"/>
              </w:rPr>
            </w:pPr>
            <w:r>
              <w:rPr>
                <w:rFonts w:ascii="Arial" w:eastAsia="Times" w:hAnsi="Arial"/>
                <w:sz w:val="18"/>
                <w:szCs w:val="18"/>
              </w:rPr>
              <w:t>Type of regulated article and intended use</w:t>
            </w:r>
          </w:p>
        </w:tc>
      </w:tr>
      <w:tr w:rsidR="00617493" w14:paraId="12DC7284" w14:textId="77777777">
        <w:trPr>
          <w:jc w:val="center"/>
        </w:trPr>
        <w:tc>
          <w:tcPr>
            <w:tcW w:w="0" w:type="auto"/>
            <w:tcBorders>
              <w:bottom w:val="single" w:sz="4" w:space="0" w:color="auto"/>
            </w:tcBorders>
          </w:tcPr>
          <w:p w14:paraId="6743107D" w14:textId="77777777" w:rsidR="00617493" w:rsidRDefault="00617493">
            <w:pPr>
              <w:rPr>
                <w:rFonts w:ascii="Arial" w:eastAsia="Times" w:hAnsi="Arial"/>
                <w:sz w:val="18"/>
                <w:szCs w:val="18"/>
              </w:rPr>
            </w:pPr>
          </w:p>
        </w:tc>
      </w:tr>
      <w:tr w:rsidR="00617493" w14:paraId="650F82C5" w14:textId="77777777">
        <w:trPr>
          <w:jc w:val="center"/>
        </w:trPr>
        <w:tc>
          <w:tcPr>
            <w:tcW w:w="0" w:type="auto"/>
            <w:shd w:val="clear" w:color="auto" w:fill="D9E8FF"/>
          </w:tcPr>
          <w:p w14:paraId="2E21E308" w14:textId="77777777" w:rsidR="00617493" w:rsidRDefault="00000000">
            <w:pPr>
              <w:rPr>
                <w:rFonts w:ascii="Arial" w:eastAsia="Times" w:hAnsi="Arial"/>
                <w:sz w:val="18"/>
                <w:szCs w:val="18"/>
              </w:rPr>
            </w:pPr>
            <w:r>
              <w:rPr>
                <w:rFonts w:ascii="Arial" w:eastAsia="Times" w:hAnsi="Arial"/>
                <w:sz w:val="18"/>
                <w:szCs w:val="18"/>
              </w:rPr>
              <w:lastRenderedPageBreak/>
              <w:t>Botanical name for plant or plant product (where applicable)</w:t>
            </w:r>
          </w:p>
        </w:tc>
      </w:tr>
      <w:tr w:rsidR="00617493" w14:paraId="1034A043" w14:textId="77777777">
        <w:trPr>
          <w:jc w:val="center"/>
        </w:trPr>
        <w:tc>
          <w:tcPr>
            <w:tcW w:w="0" w:type="auto"/>
            <w:tcBorders>
              <w:bottom w:val="single" w:sz="4" w:space="0" w:color="auto"/>
            </w:tcBorders>
          </w:tcPr>
          <w:p w14:paraId="1F18A9BE" w14:textId="77777777" w:rsidR="00617493" w:rsidRDefault="00617493">
            <w:pPr>
              <w:rPr>
                <w:rFonts w:ascii="Arial" w:eastAsia="Times" w:hAnsi="Arial"/>
                <w:sz w:val="18"/>
                <w:szCs w:val="18"/>
              </w:rPr>
            </w:pPr>
          </w:p>
        </w:tc>
      </w:tr>
      <w:tr w:rsidR="00617493" w14:paraId="4935C6D6" w14:textId="77777777">
        <w:trPr>
          <w:trHeight w:val="259"/>
          <w:jc w:val="center"/>
        </w:trPr>
        <w:tc>
          <w:tcPr>
            <w:tcW w:w="0" w:type="auto"/>
            <w:shd w:val="clear" w:color="auto" w:fill="D9E8FF"/>
          </w:tcPr>
          <w:p w14:paraId="4DF4F3B2" w14:textId="77777777" w:rsidR="00617493" w:rsidRDefault="00000000">
            <w:pPr>
              <w:rPr>
                <w:rFonts w:ascii="Arial" w:eastAsia="Times" w:hAnsi="Arial"/>
                <w:sz w:val="18"/>
                <w:szCs w:val="18"/>
              </w:rPr>
            </w:pPr>
            <w:r>
              <w:rPr>
                <w:rFonts w:ascii="Arial" w:eastAsia="Times" w:hAnsi="Arial"/>
                <w:sz w:val="18"/>
                <w:szCs w:val="18"/>
              </w:rPr>
              <w:t>Conditions of the plant or plant product</w:t>
            </w:r>
          </w:p>
        </w:tc>
      </w:tr>
      <w:tr w:rsidR="00617493" w14:paraId="0B8F53E5" w14:textId="77777777">
        <w:trPr>
          <w:jc w:val="center"/>
        </w:trPr>
        <w:tc>
          <w:tcPr>
            <w:tcW w:w="0" w:type="auto"/>
            <w:tcBorders>
              <w:bottom w:val="single" w:sz="4" w:space="0" w:color="auto"/>
            </w:tcBorders>
            <w:shd w:val="clear" w:color="auto" w:fill="auto"/>
          </w:tcPr>
          <w:p w14:paraId="2F19CB0C" w14:textId="77777777" w:rsidR="00617493" w:rsidRDefault="00617493">
            <w:pPr>
              <w:rPr>
                <w:rFonts w:ascii="Arial" w:eastAsia="Times" w:hAnsi="Arial"/>
                <w:sz w:val="18"/>
                <w:szCs w:val="18"/>
              </w:rPr>
            </w:pPr>
          </w:p>
        </w:tc>
      </w:tr>
      <w:tr w:rsidR="00617493" w14:paraId="45A51C2C" w14:textId="77777777">
        <w:trPr>
          <w:jc w:val="center"/>
        </w:trPr>
        <w:tc>
          <w:tcPr>
            <w:tcW w:w="0" w:type="auto"/>
            <w:tcBorders>
              <w:bottom w:val="single" w:sz="4" w:space="0" w:color="auto"/>
            </w:tcBorders>
            <w:shd w:val="clear" w:color="auto" w:fill="B7D4FF"/>
          </w:tcPr>
          <w:p w14:paraId="14922514" w14:textId="77777777" w:rsidR="00617493" w:rsidRDefault="00000000">
            <w:pPr>
              <w:rPr>
                <w:rFonts w:ascii="Arial" w:eastAsia="Times" w:hAnsi="Arial"/>
                <w:sz w:val="18"/>
                <w:szCs w:val="18"/>
              </w:rPr>
            </w:pPr>
            <w:r>
              <w:rPr>
                <w:rFonts w:ascii="Arial" w:eastAsia="Times" w:hAnsi="Arial"/>
                <w:bCs/>
                <w:sz w:val="18"/>
                <w:szCs w:val="18"/>
              </w:rPr>
              <w:t>Experimental parameters</w:t>
            </w:r>
          </w:p>
        </w:tc>
      </w:tr>
      <w:tr w:rsidR="00617493" w14:paraId="4EDB1C19" w14:textId="77777777">
        <w:trPr>
          <w:jc w:val="center"/>
        </w:trPr>
        <w:tc>
          <w:tcPr>
            <w:tcW w:w="0" w:type="auto"/>
            <w:shd w:val="clear" w:color="auto" w:fill="D9E8FF"/>
          </w:tcPr>
          <w:p w14:paraId="6A36AEC1" w14:textId="77777777" w:rsidR="00617493" w:rsidRDefault="00000000">
            <w:pPr>
              <w:rPr>
                <w:rFonts w:ascii="Arial" w:eastAsia="Times" w:hAnsi="Arial"/>
                <w:sz w:val="18"/>
                <w:szCs w:val="18"/>
              </w:rPr>
            </w:pPr>
            <w:r>
              <w:rPr>
                <w:rFonts w:ascii="Arial" w:eastAsia="Times" w:hAnsi="Arial"/>
                <w:sz w:val="18"/>
                <w:szCs w:val="18"/>
              </w:rPr>
              <w:t>Level of confidence of laboratory tests provided by the method of statistical analysis and the data supporting that calculation</w:t>
            </w:r>
          </w:p>
        </w:tc>
      </w:tr>
      <w:tr w:rsidR="00617493" w14:paraId="76D2F68B" w14:textId="77777777">
        <w:trPr>
          <w:jc w:val="center"/>
        </w:trPr>
        <w:tc>
          <w:tcPr>
            <w:tcW w:w="0" w:type="auto"/>
            <w:tcBorders>
              <w:bottom w:val="single" w:sz="4" w:space="0" w:color="auto"/>
            </w:tcBorders>
          </w:tcPr>
          <w:p w14:paraId="46D1B9D5" w14:textId="77777777" w:rsidR="00617493" w:rsidRDefault="00617493">
            <w:pPr>
              <w:rPr>
                <w:rFonts w:ascii="Arial" w:eastAsia="Times" w:hAnsi="Arial"/>
                <w:sz w:val="18"/>
                <w:szCs w:val="18"/>
              </w:rPr>
            </w:pPr>
          </w:p>
        </w:tc>
      </w:tr>
      <w:tr w:rsidR="00617493" w14:paraId="10841647" w14:textId="77777777">
        <w:trPr>
          <w:jc w:val="center"/>
        </w:trPr>
        <w:tc>
          <w:tcPr>
            <w:tcW w:w="0" w:type="auto"/>
            <w:shd w:val="clear" w:color="auto" w:fill="D9E8FF"/>
          </w:tcPr>
          <w:p w14:paraId="16492E5B" w14:textId="77777777" w:rsidR="00617493" w:rsidRDefault="00000000">
            <w:pPr>
              <w:rPr>
                <w:rFonts w:ascii="Arial" w:eastAsia="Times" w:hAnsi="Arial"/>
                <w:sz w:val="18"/>
                <w:szCs w:val="18"/>
              </w:rPr>
            </w:pPr>
            <w:r>
              <w:rPr>
                <w:rFonts w:ascii="Arial" w:eastAsia="Times" w:hAnsi="Arial"/>
                <w:sz w:val="18"/>
                <w:szCs w:val="18"/>
              </w:rPr>
              <w:t>Experimental facilities and equipment</w:t>
            </w:r>
          </w:p>
        </w:tc>
      </w:tr>
      <w:tr w:rsidR="00617493" w14:paraId="51BC4F3A" w14:textId="77777777">
        <w:trPr>
          <w:jc w:val="center"/>
        </w:trPr>
        <w:tc>
          <w:tcPr>
            <w:tcW w:w="0" w:type="auto"/>
            <w:tcBorders>
              <w:bottom w:val="single" w:sz="4" w:space="0" w:color="auto"/>
            </w:tcBorders>
          </w:tcPr>
          <w:p w14:paraId="365764A1" w14:textId="77777777" w:rsidR="00617493" w:rsidRDefault="00617493">
            <w:pPr>
              <w:rPr>
                <w:rFonts w:ascii="Arial" w:eastAsia="Times" w:hAnsi="Arial"/>
                <w:sz w:val="18"/>
                <w:szCs w:val="18"/>
              </w:rPr>
            </w:pPr>
          </w:p>
        </w:tc>
      </w:tr>
      <w:tr w:rsidR="00617493" w14:paraId="487B0784" w14:textId="77777777">
        <w:trPr>
          <w:jc w:val="center"/>
        </w:trPr>
        <w:tc>
          <w:tcPr>
            <w:tcW w:w="0" w:type="auto"/>
            <w:shd w:val="clear" w:color="auto" w:fill="D9E8FF"/>
          </w:tcPr>
          <w:p w14:paraId="40383CA3" w14:textId="77777777" w:rsidR="00617493" w:rsidRDefault="00000000">
            <w:pPr>
              <w:rPr>
                <w:rFonts w:ascii="Arial" w:eastAsia="Times" w:hAnsi="Arial"/>
                <w:sz w:val="18"/>
                <w:szCs w:val="18"/>
              </w:rPr>
            </w:pPr>
            <w:r>
              <w:rPr>
                <w:rFonts w:ascii="Arial" w:eastAsia="Times" w:hAnsi="Arial"/>
                <w:sz w:val="18"/>
                <w:szCs w:val="18"/>
              </w:rPr>
              <w:t>Experimental design</w:t>
            </w:r>
          </w:p>
        </w:tc>
      </w:tr>
      <w:tr w:rsidR="00617493" w14:paraId="429E25B4" w14:textId="77777777">
        <w:trPr>
          <w:jc w:val="center"/>
        </w:trPr>
        <w:tc>
          <w:tcPr>
            <w:tcW w:w="0" w:type="auto"/>
            <w:tcBorders>
              <w:bottom w:val="single" w:sz="4" w:space="0" w:color="auto"/>
            </w:tcBorders>
          </w:tcPr>
          <w:p w14:paraId="32DC25AD" w14:textId="77777777" w:rsidR="00617493" w:rsidRDefault="00617493">
            <w:pPr>
              <w:rPr>
                <w:rFonts w:ascii="Arial" w:eastAsia="Times" w:hAnsi="Arial"/>
                <w:sz w:val="18"/>
                <w:szCs w:val="18"/>
              </w:rPr>
            </w:pPr>
          </w:p>
        </w:tc>
      </w:tr>
      <w:tr w:rsidR="00617493" w14:paraId="0D77F04E" w14:textId="77777777">
        <w:trPr>
          <w:jc w:val="center"/>
        </w:trPr>
        <w:tc>
          <w:tcPr>
            <w:tcW w:w="0" w:type="auto"/>
            <w:shd w:val="clear" w:color="auto" w:fill="D9E8FF"/>
          </w:tcPr>
          <w:p w14:paraId="48194BA6" w14:textId="77777777" w:rsidR="00617493" w:rsidRDefault="00000000">
            <w:pPr>
              <w:rPr>
                <w:rFonts w:ascii="Arial" w:eastAsia="Times" w:hAnsi="Arial"/>
                <w:sz w:val="18"/>
                <w:szCs w:val="18"/>
              </w:rPr>
            </w:pPr>
            <w:r>
              <w:rPr>
                <w:rFonts w:ascii="Arial" w:eastAsia="Times" w:hAnsi="Arial"/>
                <w:sz w:val="18"/>
                <w:szCs w:val="18"/>
              </w:rPr>
              <w:t>Experimental conditions</w:t>
            </w:r>
          </w:p>
        </w:tc>
      </w:tr>
      <w:tr w:rsidR="00617493" w14:paraId="431DACD4" w14:textId="77777777">
        <w:trPr>
          <w:jc w:val="center"/>
        </w:trPr>
        <w:tc>
          <w:tcPr>
            <w:tcW w:w="0" w:type="auto"/>
            <w:tcBorders>
              <w:bottom w:val="single" w:sz="4" w:space="0" w:color="auto"/>
            </w:tcBorders>
          </w:tcPr>
          <w:p w14:paraId="4D4AA160" w14:textId="77777777" w:rsidR="00617493" w:rsidRDefault="00617493">
            <w:pPr>
              <w:rPr>
                <w:rFonts w:ascii="Arial" w:eastAsia="Times" w:hAnsi="Arial"/>
                <w:sz w:val="18"/>
                <w:szCs w:val="18"/>
              </w:rPr>
            </w:pPr>
          </w:p>
        </w:tc>
      </w:tr>
      <w:tr w:rsidR="00617493" w14:paraId="0581535E" w14:textId="77777777">
        <w:trPr>
          <w:jc w:val="center"/>
        </w:trPr>
        <w:tc>
          <w:tcPr>
            <w:tcW w:w="0" w:type="auto"/>
            <w:shd w:val="clear" w:color="auto" w:fill="D9E8FF"/>
          </w:tcPr>
          <w:p w14:paraId="647C0965" w14:textId="77777777" w:rsidR="00617493" w:rsidRDefault="00000000">
            <w:pPr>
              <w:rPr>
                <w:rFonts w:ascii="Arial" w:eastAsia="Times" w:hAnsi="Arial"/>
                <w:sz w:val="18"/>
                <w:szCs w:val="18"/>
              </w:rPr>
            </w:pPr>
            <w:r>
              <w:rPr>
                <w:rFonts w:ascii="Arial" w:eastAsia="Times" w:hAnsi="Arial"/>
                <w:sz w:val="18"/>
                <w:szCs w:val="18"/>
              </w:rPr>
              <w:t>Monitoring of critical parameters</w:t>
            </w:r>
          </w:p>
        </w:tc>
      </w:tr>
      <w:tr w:rsidR="00617493" w14:paraId="27A0DAA2" w14:textId="77777777">
        <w:trPr>
          <w:jc w:val="center"/>
        </w:trPr>
        <w:tc>
          <w:tcPr>
            <w:tcW w:w="0" w:type="auto"/>
            <w:tcBorders>
              <w:bottom w:val="single" w:sz="4" w:space="0" w:color="auto"/>
            </w:tcBorders>
          </w:tcPr>
          <w:p w14:paraId="4D67F14C" w14:textId="77777777" w:rsidR="00617493" w:rsidRDefault="00617493">
            <w:pPr>
              <w:rPr>
                <w:rFonts w:ascii="Arial" w:eastAsia="Times" w:hAnsi="Arial"/>
                <w:sz w:val="18"/>
                <w:szCs w:val="18"/>
              </w:rPr>
            </w:pPr>
          </w:p>
        </w:tc>
      </w:tr>
      <w:tr w:rsidR="00617493" w14:paraId="7EC0C08C" w14:textId="77777777">
        <w:trPr>
          <w:jc w:val="center"/>
        </w:trPr>
        <w:tc>
          <w:tcPr>
            <w:tcW w:w="0" w:type="auto"/>
            <w:shd w:val="clear" w:color="auto" w:fill="D9E8FF"/>
          </w:tcPr>
          <w:p w14:paraId="60F05383" w14:textId="77777777" w:rsidR="00617493" w:rsidRDefault="00000000">
            <w:pPr>
              <w:rPr>
                <w:rFonts w:ascii="Arial" w:eastAsia="Times" w:hAnsi="Arial"/>
                <w:sz w:val="18"/>
                <w:szCs w:val="18"/>
              </w:rPr>
            </w:pPr>
            <w:r>
              <w:rPr>
                <w:rFonts w:ascii="Arial" w:eastAsia="Times" w:hAnsi="Arial"/>
                <w:sz w:val="18"/>
                <w:szCs w:val="18"/>
              </w:rPr>
              <w:t>Methodology to measure the effectiveness of the treatment</w:t>
            </w:r>
          </w:p>
        </w:tc>
      </w:tr>
      <w:tr w:rsidR="00617493" w14:paraId="13A3934A" w14:textId="77777777">
        <w:trPr>
          <w:jc w:val="center"/>
        </w:trPr>
        <w:tc>
          <w:tcPr>
            <w:tcW w:w="0" w:type="auto"/>
            <w:tcBorders>
              <w:bottom w:val="single" w:sz="4" w:space="0" w:color="auto"/>
            </w:tcBorders>
          </w:tcPr>
          <w:p w14:paraId="43A7B3A5" w14:textId="77777777" w:rsidR="00617493" w:rsidRDefault="00617493">
            <w:pPr>
              <w:rPr>
                <w:rFonts w:ascii="Arial" w:eastAsia="Times" w:hAnsi="Arial"/>
                <w:sz w:val="18"/>
                <w:szCs w:val="18"/>
              </w:rPr>
            </w:pPr>
          </w:p>
        </w:tc>
      </w:tr>
      <w:tr w:rsidR="00617493" w14:paraId="5A455ED6" w14:textId="77777777">
        <w:trPr>
          <w:jc w:val="center"/>
        </w:trPr>
        <w:tc>
          <w:tcPr>
            <w:tcW w:w="0" w:type="auto"/>
            <w:shd w:val="clear" w:color="auto" w:fill="D9E8FF"/>
          </w:tcPr>
          <w:p w14:paraId="05564944" w14:textId="77777777" w:rsidR="00617493" w:rsidRDefault="00000000">
            <w:pPr>
              <w:rPr>
                <w:rFonts w:ascii="Arial" w:eastAsia="Times" w:hAnsi="Arial"/>
                <w:sz w:val="18"/>
                <w:szCs w:val="18"/>
              </w:rPr>
            </w:pPr>
            <w:r>
              <w:rPr>
                <w:rFonts w:ascii="Arial" w:eastAsia="Times" w:hAnsi="Arial"/>
                <w:sz w:val="18"/>
                <w:szCs w:val="18"/>
              </w:rPr>
              <w:t>Determination of efficacy over a range of critical parameters, where appropriate</w:t>
            </w:r>
          </w:p>
        </w:tc>
      </w:tr>
      <w:tr w:rsidR="00617493" w14:paraId="62580314" w14:textId="77777777">
        <w:trPr>
          <w:jc w:val="center"/>
        </w:trPr>
        <w:tc>
          <w:tcPr>
            <w:tcW w:w="0" w:type="auto"/>
            <w:tcBorders>
              <w:bottom w:val="single" w:sz="4" w:space="0" w:color="auto"/>
            </w:tcBorders>
          </w:tcPr>
          <w:p w14:paraId="32542D3B" w14:textId="77777777" w:rsidR="00617493" w:rsidRDefault="00617493">
            <w:pPr>
              <w:rPr>
                <w:rFonts w:ascii="Arial" w:eastAsia="Times" w:hAnsi="Arial"/>
                <w:sz w:val="18"/>
                <w:szCs w:val="18"/>
              </w:rPr>
            </w:pPr>
          </w:p>
        </w:tc>
      </w:tr>
      <w:tr w:rsidR="00617493" w14:paraId="3A5C9655" w14:textId="77777777">
        <w:trPr>
          <w:jc w:val="center"/>
        </w:trPr>
        <w:tc>
          <w:tcPr>
            <w:tcW w:w="0" w:type="auto"/>
            <w:shd w:val="clear" w:color="auto" w:fill="D9E8FF"/>
          </w:tcPr>
          <w:p w14:paraId="657AFD84" w14:textId="77777777" w:rsidR="00617493" w:rsidRDefault="00000000">
            <w:pPr>
              <w:rPr>
                <w:rFonts w:ascii="Arial" w:eastAsia="Times" w:hAnsi="Arial"/>
                <w:sz w:val="18"/>
                <w:szCs w:val="18"/>
              </w:rPr>
            </w:pPr>
            <w:r>
              <w:rPr>
                <w:rFonts w:ascii="Arial" w:eastAsia="Times" w:hAnsi="Arial"/>
                <w:sz w:val="18"/>
                <w:szCs w:val="18"/>
              </w:rPr>
              <w:t>Methodology to measure phytotoxicity, when appropriate</w:t>
            </w:r>
          </w:p>
        </w:tc>
      </w:tr>
      <w:tr w:rsidR="00617493" w14:paraId="55C6186C" w14:textId="77777777">
        <w:trPr>
          <w:jc w:val="center"/>
        </w:trPr>
        <w:tc>
          <w:tcPr>
            <w:tcW w:w="0" w:type="auto"/>
            <w:tcBorders>
              <w:bottom w:val="single" w:sz="4" w:space="0" w:color="auto"/>
            </w:tcBorders>
          </w:tcPr>
          <w:p w14:paraId="0D000B81" w14:textId="77777777" w:rsidR="00617493" w:rsidRDefault="00617493">
            <w:pPr>
              <w:rPr>
                <w:rFonts w:ascii="Arial" w:eastAsia="Times" w:hAnsi="Arial"/>
                <w:sz w:val="18"/>
                <w:szCs w:val="18"/>
              </w:rPr>
            </w:pPr>
          </w:p>
        </w:tc>
      </w:tr>
      <w:tr w:rsidR="00617493" w14:paraId="455ADA41" w14:textId="77777777">
        <w:trPr>
          <w:jc w:val="center"/>
        </w:trPr>
        <w:tc>
          <w:tcPr>
            <w:tcW w:w="0" w:type="auto"/>
            <w:shd w:val="clear" w:color="auto" w:fill="D9E8FF"/>
          </w:tcPr>
          <w:p w14:paraId="2BA3C8CB" w14:textId="77777777" w:rsidR="00617493" w:rsidRDefault="00000000">
            <w:pPr>
              <w:rPr>
                <w:rFonts w:ascii="Arial" w:eastAsia="Times" w:hAnsi="Arial"/>
                <w:sz w:val="18"/>
                <w:szCs w:val="18"/>
              </w:rPr>
            </w:pPr>
            <w:r>
              <w:rPr>
                <w:rFonts w:ascii="Arial" w:eastAsia="Times" w:hAnsi="Arial"/>
                <w:sz w:val="18"/>
                <w:szCs w:val="18"/>
              </w:rPr>
              <w:t>Dosimetry system, calibration and accuracy of measurements</w:t>
            </w:r>
          </w:p>
        </w:tc>
      </w:tr>
      <w:tr w:rsidR="00617493" w14:paraId="79941DDA" w14:textId="77777777">
        <w:trPr>
          <w:jc w:val="center"/>
        </w:trPr>
        <w:tc>
          <w:tcPr>
            <w:tcW w:w="0" w:type="auto"/>
            <w:tcBorders>
              <w:bottom w:val="single" w:sz="4" w:space="0" w:color="auto"/>
            </w:tcBorders>
          </w:tcPr>
          <w:p w14:paraId="4973C688" w14:textId="77777777" w:rsidR="00617493" w:rsidRDefault="00617493">
            <w:pPr>
              <w:rPr>
                <w:rFonts w:ascii="Arial" w:eastAsia="Times" w:hAnsi="Arial"/>
                <w:sz w:val="18"/>
                <w:szCs w:val="18"/>
              </w:rPr>
            </w:pPr>
          </w:p>
        </w:tc>
      </w:tr>
      <w:tr w:rsidR="00617493" w14:paraId="34CE931C" w14:textId="77777777">
        <w:trPr>
          <w:jc w:val="center"/>
        </w:trPr>
        <w:tc>
          <w:tcPr>
            <w:tcW w:w="0" w:type="auto"/>
            <w:shd w:val="clear" w:color="auto" w:fill="D9E8FF"/>
          </w:tcPr>
          <w:p w14:paraId="424A3B37" w14:textId="77777777" w:rsidR="00617493" w:rsidRDefault="00000000">
            <w:pPr>
              <w:rPr>
                <w:rFonts w:ascii="Arial" w:eastAsia="Times" w:hAnsi="Arial"/>
                <w:sz w:val="18"/>
                <w:szCs w:val="18"/>
              </w:rPr>
            </w:pPr>
            <w:r>
              <w:rPr>
                <w:rFonts w:ascii="Arial" w:eastAsia="Times" w:hAnsi="Arial"/>
                <w:sz w:val="18"/>
                <w:szCs w:val="18"/>
              </w:rPr>
              <w:t>Factors that affect the efficacy of the treatment</w:t>
            </w:r>
          </w:p>
        </w:tc>
      </w:tr>
      <w:tr w:rsidR="00617493" w14:paraId="1B4F47D4" w14:textId="77777777">
        <w:trPr>
          <w:jc w:val="center"/>
        </w:trPr>
        <w:tc>
          <w:tcPr>
            <w:tcW w:w="0" w:type="auto"/>
            <w:tcBorders>
              <w:bottom w:val="single" w:sz="4" w:space="0" w:color="auto"/>
            </w:tcBorders>
          </w:tcPr>
          <w:p w14:paraId="73EE62C0" w14:textId="77777777" w:rsidR="00617493" w:rsidRDefault="00617493">
            <w:pPr>
              <w:rPr>
                <w:rFonts w:ascii="Arial" w:eastAsia="Times" w:hAnsi="Arial"/>
                <w:sz w:val="18"/>
                <w:szCs w:val="18"/>
              </w:rPr>
            </w:pPr>
          </w:p>
        </w:tc>
      </w:tr>
      <w:tr w:rsidR="00617493" w14:paraId="077BB688" w14:textId="77777777">
        <w:trPr>
          <w:jc w:val="center"/>
        </w:trPr>
        <w:tc>
          <w:tcPr>
            <w:tcW w:w="0" w:type="auto"/>
            <w:shd w:val="clear" w:color="auto" w:fill="D9E8FF"/>
          </w:tcPr>
          <w:p w14:paraId="4B834F08" w14:textId="77777777" w:rsidR="00617493" w:rsidRDefault="00000000">
            <w:pPr>
              <w:rPr>
                <w:rFonts w:ascii="Arial" w:eastAsia="Times" w:hAnsi="Arial"/>
                <w:sz w:val="18"/>
                <w:szCs w:val="18"/>
              </w:rPr>
            </w:pPr>
            <w:r>
              <w:rPr>
                <w:rFonts w:ascii="Arial" w:eastAsia="Times" w:hAnsi="Arial"/>
                <w:sz w:val="18"/>
                <w:szCs w:val="18"/>
              </w:rPr>
              <w:t>Special procedures that affect the success of the treatment, if applicable</w:t>
            </w:r>
          </w:p>
        </w:tc>
      </w:tr>
      <w:tr w:rsidR="00617493" w14:paraId="613A3C49" w14:textId="77777777">
        <w:trPr>
          <w:jc w:val="center"/>
        </w:trPr>
        <w:tc>
          <w:tcPr>
            <w:tcW w:w="0" w:type="auto"/>
            <w:tcBorders>
              <w:bottom w:val="single" w:sz="6" w:space="0" w:color="auto"/>
            </w:tcBorders>
          </w:tcPr>
          <w:p w14:paraId="301643F8" w14:textId="77777777" w:rsidR="00617493" w:rsidRDefault="00617493">
            <w:pPr>
              <w:rPr>
                <w:rFonts w:ascii="Arial" w:eastAsia="Times" w:hAnsi="Arial"/>
                <w:sz w:val="18"/>
                <w:szCs w:val="18"/>
              </w:rPr>
            </w:pPr>
          </w:p>
        </w:tc>
      </w:tr>
      <w:tr w:rsidR="00617493" w14:paraId="169A383F" w14:textId="77777777">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1227A965" w14:textId="77777777" w:rsidR="00617493" w:rsidRDefault="00000000">
            <w:pPr>
              <w:rPr>
                <w:rFonts w:ascii="Arial" w:eastAsia="Times" w:hAnsi="Arial"/>
                <w:b/>
                <w:color w:val="FFFFFF"/>
                <w:sz w:val="18"/>
                <w:szCs w:val="18"/>
              </w:rPr>
            </w:pPr>
            <w:r>
              <w:rPr>
                <w:rFonts w:ascii="Arial" w:eastAsia="Times" w:hAnsi="Arial"/>
                <w:b/>
                <w:color w:val="FFFFFF"/>
                <w:sz w:val="18"/>
                <w:szCs w:val="18"/>
              </w:rPr>
              <w:t>3.3</w:t>
            </w:r>
            <w:r>
              <w:rPr>
                <w:rFonts w:ascii="Arial" w:eastAsia="Times" w:hAnsi="Arial"/>
                <w:b/>
                <w:color w:val="FFFFFF"/>
                <w:sz w:val="18"/>
                <w:szCs w:val="18"/>
              </w:rPr>
              <w:tab/>
              <w:t>Feasibility and applicability (Information should be provided where appropriate on the following items)</w:t>
            </w:r>
          </w:p>
        </w:tc>
      </w:tr>
      <w:tr w:rsidR="00617493" w14:paraId="21F69EE7" w14:textId="77777777">
        <w:trPr>
          <w:jc w:val="center"/>
        </w:trPr>
        <w:tc>
          <w:tcPr>
            <w:tcW w:w="0" w:type="auto"/>
            <w:tcBorders>
              <w:top w:val="single" w:sz="6" w:space="0" w:color="auto"/>
            </w:tcBorders>
            <w:shd w:val="clear" w:color="auto" w:fill="D9E8FF"/>
          </w:tcPr>
          <w:p w14:paraId="356C9756" w14:textId="77777777" w:rsidR="00617493" w:rsidRDefault="00000000">
            <w:pPr>
              <w:rPr>
                <w:rFonts w:ascii="Arial" w:eastAsia="Times" w:hAnsi="Arial"/>
                <w:sz w:val="18"/>
                <w:szCs w:val="18"/>
              </w:rPr>
            </w:pPr>
            <w:r>
              <w:rPr>
                <w:rFonts w:ascii="Arial" w:eastAsia="Times" w:hAnsi="Arial"/>
                <w:snapToGrid w:val="0"/>
                <w:sz w:val="18"/>
                <w:szCs w:val="18"/>
              </w:rPr>
              <w:t>Procedure for carrying out the phytosanitary treatment</w:t>
            </w:r>
          </w:p>
        </w:tc>
      </w:tr>
      <w:tr w:rsidR="00617493" w14:paraId="226C1A6A" w14:textId="77777777">
        <w:trPr>
          <w:jc w:val="center"/>
        </w:trPr>
        <w:tc>
          <w:tcPr>
            <w:tcW w:w="0" w:type="auto"/>
            <w:tcBorders>
              <w:bottom w:val="single" w:sz="4" w:space="0" w:color="auto"/>
            </w:tcBorders>
          </w:tcPr>
          <w:p w14:paraId="0D3AC389"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 xml:space="preserve">Technical schedules (a minimum </w:t>
            </w:r>
            <w:r>
              <w:rPr>
                <w:rFonts w:ascii="Arial" w:eastAsiaTheme="minorEastAsia" w:hAnsi="Arial" w:cs="Arial" w:hint="eastAsia"/>
                <w:sz w:val="18"/>
                <w:szCs w:val="18"/>
                <w:lang w:val="en-US"/>
              </w:rPr>
              <w:t>exposure</w:t>
            </w:r>
            <w:r>
              <w:rPr>
                <w:rFonts w:ascii="Arial" w:eastAsia="Times" w:hAnsi="Arial" w:hint="eastAsia"/>
                <w:sz w:val="18"/>
                <w:szCs w:val="18"/>
              </w:rPr>
              <w:t xml:space="preserve"> time) establishment - Regulations making - Facility (available /construction) certification and approval - Commercial operation.</w:t>
            </w:r>
          </w:p>
        </w:tc>
      </w:tr>
      <w:tr w:rsidR="00617493" w14:paraId="7223796B" w14:textId="77777777">
        <w:trPr>
          <w:jc w:val="center"/>
        </w:trPr>
        <w:tc>
          <w:tcPr>
            <w:tcW w:w="0" w:type="auto"/>
            <w:shd w:val="clear" w:color="auto" w:fill="D9E8FF"/>
          </w:tcPr>
          <w:p w14:paraId="283E1E77" w14:textId="77777777" w:rsidR="00617493" w:rsidRDefault="00000000">
            <w:pPr>
              <w:rPr>
                <w:rFonts w:ascii="Arial" w:eastAsia="Times" w:hAnsi="Arial"/>
                <w:sz w:val="18"/>
                <w:szCs w:val="18"/>
              </w:rPr>
            </w:pPr>
            <w:r>
              <w:rPr>
                <w:rFonts w:ascii="Arial" w:eastAsia="Times" w:hAnsi="Arial"/>
                <w:snapToGrid w:val="0"/>
                <w:sz w:val="18"/>
                <w:szCs w:val="18"/>
              </w:rPr>
              <w:t>Cost of typical treatment facility and operational running costs if appropriate</w:t>
            </w:r>
          </w:p>
        </w:tc>
      </w:tr>
      <w:tr w:rsidR="00617493" w14:paraId="57C2406D" w14:textId="77777777">
        <w:trPr>
          <w:jc w:val="center"/>
        </w:trPr>
        <w:tc>
          <w:tcPr>
            <w:tcW w:w="0" w:type="auto"/>
            <w:tcBorders>
              <w:bottom w:val="single" w:sz="4" w:space="0" w:color="auto"/>
            </w:tcBorders>
          </w:tcPr>
          <w:p w14:paraId="55F5F4EE"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宋体" w:hAnsi="Arial" w:hint="eastAsia"/>
                <w:sz w:val="18"/>
                <w:szCs w:val="18"/>
                <w:lang w:val="en-US" w:eastAsia="zh-CN"/>
              </w:rPr>
              <w:t>N/A</w:t>
            </w:r>
          </w:p>
        </w:tc>
      </w:tr>
      <w:tr w:rsidR="00617493" w14:paraId="5C0B3B1F" w14:textId="77777777">
        <w:trPr>
          <w:jc w:val="center"/>
        </w:trPr>
        <w:tc>
          <w:tcPr>
            <w:tcW w:w="0" w:type="auto"/>
            <w:shd w:val="clear" w:color="auto" w:fill="D9E8FF"/>
          </w:tcPr>
          <w:p w14:paraId="522E7A00" w14:textId="77777777" w:rsidR="00617493" w:rsidRDefault="00000000">
            <w:pPr>
              <w:rPr>
                <w:rFonts w:ascii="Arial" w:eastAsia="Times" w:hAnsi="Arial"/>
                <w:sz w:val="18"/>
                <w:szCs w:val="18"/>
              </w:rPr>
            </w:pPr>
            <w:r>
              <w:rPr>
                <w:rFonts w:ascii="Arial" w:eastAsia="Times" w:hAnsi="Arial"/>
                <w:sz w:val="18"/>
                <w:szCs w:val="18"/>
              </w:rPr>
              <w:t>Commercial relevance, including affordability</w:t>
            </w:r>
          </w:p>
        </w:tc>
      </w:tr>
      <w:tr w:rsidR="00617493" w14:paraId="227D1561" w14:textId="77777777">
        <w:trPr>
          <w:jc w:val="center"/>
        </w:trPr>
        <w:tc>
          <w:tcPr>
            <w:tcW w:w="0" w:type="auto"/>
            <w:tcBorders>
              <w:bottom w:val="single" w:sz="4" w:space="0" w:color="auto"/>
            </w:tcBorders>
          </w:tcPr>
          <w:p w14:paraId="35E80E65"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Times" w:hAnsi="Arial" w:hint="eastAsia"/>
                <w:sz w:val="18"/>
                <w:szCs w:val="18"/>
              </w:rPr>
              <w:t xml:space="preserve">Phytosanitary irradiation is currently </w:t>
            </w:r>
            <w:r>
              <w:rPr>
                <w:rFonts w:ascii="Arial" w:eastAsiaTheme="minorEastAsia" w:hAnsi="Arial" w:cs="Arial" w:hint="eastAsia"/>
                <w:sz w:val="18"/>
                <w:szCs w:val="18"/>
                <w:lang w:val="en-US"/>
              </w:rPr>
              <w:t>somewhat</w:t>
            </w:r>
            <w:r>
              <w:rPr>
                <w:rFonts w:ascii="Arial" w:eastAsia="Times" w:hAnsi="Arial" w:hint="eastAsia"/>
                <w:sz w:val="18"/>
                <w:szCs w:val="18"/>
              </w:rPr>
              <w:t xml:space="preserve"> more expensive than alternatives if they exist. In some </w:t>
            </w:r>
            <w:r>
              <w:rPr>
                <w:rFonts w:ascii="Arial" w:eastAsia="Times" w:hAnsi="Arial"/>
                <w:sz w:val="18"/>
                <w:szCs w:val="18"/>
              </w:rPr>
              <w:t>cases,</w:t>
            </w:r>
            <w:r>
              <w:rPr>
                <w:rFonts w:ascii="Arial" w:eastAsia="Times" w:hAnsi="Arial" w:hint="eastAsia"/>
                <w:sz w:val="18"/>
                <w:szCs w:val="18"/>
              </w:rPr>
              <w:t xml:space="preserve"> irradiation is the only alternative that some fresh commodities tolerate.</w:t>
            </w:r>
            <w:r>
              <w:rPr>
                <w:rFonts w:ascii="Arial" w:eastAsia="宋体" w:hAnsi="Arial" w:hint="eastAsia"/>
                <w:sz w:val="18"/>
                <w:szCs w:val="18"/>
                <w:lang w:val="en-US" w:eastAsia="zh-CN"/>
              </w:rPr>
              <w:t xml:space="preserve"> T</w:t>
            </w:r>
            <w:r>
              <w:rPr>
                <w:rFonts w:ascii="Arial" w:eastAsia="Times" w:hAnsi="Arial" w:hint="eastAsia"/>
                <w:sz w:val="18"/>
                <w:szCs w:val="18"/>
              </w:rPr>
              <w:t xml:space="preserve">he MA-irradiation combination treatment was thereby conducted for achieving a high level of mortality of </w:t>
            </w:r>
            <w:r>
              <w:rPr>
                <w:rFonts w:ascii="Arial" w:eastAsia="Times" w:hAnsi="Arial" w:hint="eastAsia"/>
                <w:i/>
                <w:iCs/>
                <w:sz w:val="18"/>
                <w:szCs w:val="18"/>
              </w:rPr>
              <w:t>T. granarium</w:t>
            </w:r>
            <w:r>
              <w:rPr>
                <w:rFonts w:ascii="Arial" w:eastAsia="Times" w:hAnsi="Arial" w:hint="eastAsia"/>
                <w:sz w:val="18"/>
                <w:szCs w:val="18"/>
              </w:rPr>
              <w:t xml:space="preserve"> in a shorter treatment time to stop further damage to its host commodities</w:t>
            </w:r>
            <w:r>
              <w:rPr>
                <w:rFonts w:ascii="Arial" w:eastAsia="宋体" w:hAnsi="Arial" w:hint="eastAsia"/>
                <w:sz w:val="18"/>
                <w:szCs w:val="18"/>
                <w:lang w:val="en-US" w:eastAsia="zh-CN"/>
              </w:rPr>
              <w:t>.</w:t>
            </w:r>
          </w:p>
        </w:tc>
      </w:tr>
      <w:tr w:rsidR="00617493" w14:paraId="1AA23981" w14:textId="77777777">
        <w:trPr>
          <w:jc w:val="center"/>
        </w:trPr>
        <w:tc>
          <w:tcPr>
            <w:tcW w:w="0" w:type="auto"/>
            <w:shd w:val="clear" w:color="auto" w:fill="D9E8FF"/>
          </w:tcPr>
          <w:p w14:paraId="33A9F82A" w14:textId="77777777" w:rsidR="00617493" w:rsidRDefault="00000000">
            <w:pPr>
              <w:rPr>
                <w:rFonts w:ascii="Arial" w:eastAsia="Times" w:hAnsi="Arial"/>
                <w:sz w:val="18"/>
                <w:szCs w:val="18"/>
              </w:rPr>
            </w:pPr>
            <w:r>
              <w:rPr>
                <w:rFonts w:ascii="Arial" w:eastAsia="Times" w:hAnsi="Arial"/>
                <w:snapToGrid w:val="0"/>
                <w:sz w:val="18"/>
                <w:szCs w:val="18"/>
              </w:rPr>
              <w:t>Extent to which other NPPOs have approved the treatment as a phytosanitary measure</w:t>
            </w:r>
          </w:p>
        </w:tc>
      </w:tr>
      <w:tr w:rsidR="00617493" w14:paraId="6BC51FC0" w14:textId="77777777">
        <w:trPr>
          <w:jc w:val="center"/>
        </w:trPr>
        <w:tc>
          <w:tcPr>
            <w:tcW w:w="0" w:type="auto"/>
            <w:tcBorders>
              <w:bottom w:val="single" w:sz="4" w:space="0" w:color="auto"/>
            </w:tcBorders>
          </w:tcPr>
          <w:p w14:paraId="5C84BFF6"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Times" w:hAnsi="Arial" w:hint="eastAsia"/>
                <w:sz w:val="18"/>
                <w:szCs w:val="18"/>
              </w:rPr>
              <w:t xml:space="preserve">Phytosanitary Irradiation treatment has been </w:t>
            </w:r>
            <w:r>
              <w:rPr>
                <w:rFonts w:ascii="Arial" w:eastAsiaTheme="minorEastAsia" w:hAnsi="Arial" w:cs="Arial" w:hint="eastAsia"/>
                <w:sz w:val="18"/>
                <w:szCs w:val="18"/>
                <w:lang w:val="en-US"/>
              </w:rPr>
              <w:t>approved</w:t>
            </w:r>
            <w:r>
              <w:rPr>
                <w:rFonts w:ascii="Arial" w:eastAsia="Times" w:hAnsi="Arial" w:hint="eastAsia"/>
                <w:sz w:val="18"/>
                <w:szCs w:val="18"/>
              </w:rPr>
              <w:t xml:space="preserve"> by USA, Mexico, Australia, New Zealand, Thailand, India, Indonesia, Malaysia, Philippines, Vietnam, et al.</w:t>
            </w:r>
            <w:r>
              <w:rPr>
                <w:rFonts w:ascii="Arial" w:eastAsia="宋体" w:hAnsi="Arial" w:hint="eastAsia"/>
                <w:sz w:val="18"/>
                <w:szCs w:val="18"/>
                <w:lang w:val="en-US" w:eastAsia="zh-CN"/>
              </w:rPr>
              <w:t xml:space="preserve"> </w:t>
            </w:r>
            <w:r>
              <w:rPr>
                <w:rFonts w:ascii="Arial" w:eastAsia="宋体" w:hAnsi="Arial"/>
                <w:sz w:val="18"/>
                <w:szCs w:val="18"/>
                <w:lang w:val="en-US" w:eastAsia="zh-CN"/>
              </w:rPr>
              <w:t>T</w:t>
            </w:r>
            <w:r>
              <w:rPr>
                <w:rFonts w:ascii="Arial" w:eastAsia="Times" w:hAnsi="Arial" w:hint="eastAsia"/>
                <w:sz w:val="18"/>
                <w:szCs w:val="18"/>
              </w:rPr>
              <w:t>he International Plant</w:t>
            </w:r>
            <w:r>
              <w:rPr>
                <w:rFonts w:ascii="Arial" w:eastAsia="宋体" w:hAnsi="Arial" w:hint="eastAsia"/>
                <w:sz w:val="18"/>
                <w:szCs w:val="18"/>
                <w:lang w:val="en-US" w:eastAsia="zh-CN"/>
              </w:rPr>
              <w:t xml:space="preserve"> </w:t>
            </w:r>
            <w:r>
              <w:rPr>
                <w:rFonts w:ascii="Arial" w:eastAsia="Times" w:hAnsi="Arial" w:hint="eastAsia"/>
                <w:sz w:val="18"/>
                <w:szCs w:val="18"/>
              </w:rPr>
              <w:t>Protection Convention (IPPC)</w:t>
            </w:r>
            <w:r>
              <w:rPr>
                <w:rFonts w:ascii="Arial" w:eastAsia="Times" w:hAnsi="Arial"/>
                <w:sz w:val="18"/>
                <w:szCs w:val="18"/>
              </w:rPr>
              <w:t xml:space="preserve"> established </w:t>
            </w:r>
            <w:r>
              <w:rPr>
                <w:rFonts w:ascii="Arial" w:eastAsia="Times" w:hAnsi="Arial" w:hint="eastAsia"/>
                <w:sz w:val="18"/>
                <w:szCs w:val="18"/>
              </w:rPr>
              <w:t xml:space="preserve">ISPM 44: </w:t>
            </w:r>
            <w:r>
              <w:rPr>
                <w:rFonts w:ascii="Arial" w:eastAsia="Times" w:hAnsi="Arial" w:hint="eastAsia"/>
                <w:i/>
                <w:iCs/>
                <w:sz w:val="18"/>
                <w:szCs w:val="18"/>
              </w:rPr>
              <w:t>Requirements for the use of modified atmosphere</w:t>
            </w:r>
            <w:r>
              <w:t xml:space="preserve"> </w:t>
            </w:r>
            <w:r>
              <w:rPr>
                <w:rFonts w:ascii="Arial" w:eastAsia="Times" w:hAnsi="Arial"/>
                <w:i/>
                <w:iCs/>
                <w:sz w:val="18"/>
                <w:szCs w:val="18"/>
              </w:rPr>
              <w:t>as phytosanitary measures</w:t>
            </w:r>
            <w:r>
              <w:rPr>
                <w:rFonts w:ascii="Arial" w:eastAsia="宋体" w:hAnsi="Arial" w:hint="eastAsia"/>
                <w:sz w:val="18"/>
                <w:szCs w:val="18"/>
                <w:lang w:val="en-US" w:eastAsia="zh-CN"/>
              </w:rPr>
              <w:t xml:space="preserve"> </w:t>
            </w:r>
            <w:r>
              <w:rPr>
                <w:rFonts w:ascii="Arial" w:eastAsia="Times" w:hAnsi="Arial"/>
                <w:sz w:val="18"/>
                <w:szCs w:val="18"/>
              </w:rPr>
              <w:t>in April 2021</w:t>
            </w:r>
            <w:r>
              <w:rPr>
                <w:rFonts w:ascii="Arial" w:eastAsia="宋体" w:hAnsi="Arial" w:hint="eastAsia"/>
                <w:sz w:val="18"/>
                <w:szCs w:val="18"/>
                <w:lang w:val="en-US" w:eastAsia="zh-CN"/>
              </w:rPr>
              <w:t xml:space="preserve">. </w:t>
            </w:r>
            <w:r>
              <w:rPr>
                <w:rFonts w:ascii="Arial" w:eastAsia="宋体" w:hAnsi="Arial"/>
                <w:sz w:val="18"/>
                <w:szCs w:val="18"/>
                <w:lang w:val="en-US" w:eastAsia="zh-CN"/>
              </w:rPr>
              <w:t xml:space="preserve">After then, an Australian schedule (standard) for the phytosanitary modified atmosphere treatment of </w:t>
            </w:r>
            <w:r>
              <w:rPr>
                <w:rFonts w:ascii="Arial" w:eastAsia="Times" w:hAnsi="Arial" w:hint="eastAsia"/>
                <w:i/>
                <w:iCs/>
                <w:sz w:val="18"/>
                <w:szCs w:val="18"/>
              </w:rPr>
              <w:t>T. granarium</w:t>
            </w:r>
            <w:r>
              <w:rPr>
                <w:rFonts w:ascii="Arial" w:eastAsia="宋体" w:hAnsi="Arial"/>
                <w:sz w:val="18"/>
                <w:szCs w:val="18"/>
                <w:lang w:val="en-US" w:eastAsia="zh-CN"/>
              </w:rPr>
              <w:t xml:space="preserve"> was published </w:t>
            </w:r>
            <w:r>
              <w:rPr>
                <w:rFonts w:ascii="Arial" w:eastAsia="宋体" w:hAnsi="Arial" w:hint="eastAsia"/>
                <w:sz w:val="18"/>
                <w:szCs w:val="18"/>
                <w:lang w:val="en-US" w:eastAsia="zh-CN"/>
              </w:rPr>
              <w:t xml:space="preserve">in </w:t>
            </w:r>
            <w:r>
              <w:rPr>
                <w:rFonts w:ascii="Arial" w:eastAsia="宋体" w:hAnsi="Arial"/>
                <w:sz w:val="18"/>
                <w:szCs w:val="18"/>
                <w:lang w:val="en-US" w:eastAsia="zh-CN"/>
              </w:rPr>
              <w:t xml:space="preserve">September </w:t>
            </w:r>
            <w:r>
              <w:rPr>
                <w:rFonts w:ascii="Arial" w:eastAsia="宋体" w:hAnsi="Arial" w:hint="eastAsia"/>
                <w:sz w:val="18"/>
                <w:szCs w:val="18"/>
                <w:lang w:val="en-US" w:eastAsia="zh-CN"/>
              </w:rPr>
              <w:t>2021</w:t>
            </w:r>
            <w:r>
              <w:rPr>
                <w:rFonts w:ascii="Arial" w:eastAsia="宋体" w:hAnsi="Arial"/>
                <w:sz w:val="18"/>
                <w:szCs w:val="18"/>
                <w:lang w:val="en-US" w:eastAsia="zh-CN"/>
              </w:rPr>
              <w:t xml:space="preserve">.Please refer to </w:t>
            </w:r>
            <w:bookmarkStart w:id="12" w:name="OLE_LINK3"/>
            <w:r>
              <w:fldChar w:fldCharType="begin"/>
            </w:r>
            <w:r>
              <w:instrText xml:space="preserve"> HYPERLINK "https://www.agriculture.gov.au/biosecurity-trade/pests-diseases-weeds/plant/khapra-beetle/other-risk-plant-products" </w:instrText>
            </w:r>
            <w:r>
              <w:fldChar w:fldCharType="separate"/>
            </w:r>
            <w:r>
              <w:rPr>
                <w:rStyle w:val="af4"/>
                <w:rFonts w:ascii="Arial" w:eastAsia="宋体" w:hAnsi="Arial"/>
                <w:sz w:val="18"/>
                <w:szCs w:val="18"/>
                <w:lang w:val="en-US" w:eastAsia="zh-CN"/>
              </w:rPr>
              <w:t>https://www.agriculture.gov.au/biosecurity-trade/pests-diseases-weeds/plant/khapra-beetle/other-risk-plant-products</w:t>
            </w:r>
            <w:r>
              <w:rPr>
                <w:rStyle w:val="af4"/>
                <w:rFonts w:ascii="Arial" w:eastAsia="宋体" w:hAnsi="Arial"/>
                <w:sz w:val="18"/>
                <w:szCs w:val="18"/>
                <w:lang w:val="en-US" w:eastAsia="zh-CN"/>
              </w:rPr>
              <w:fldChar w:fldCharType="end"/>
            </w:r>
            <w:r>
              <w:rPr>
                <w:rFonts w:ascii="Arial" w:eastAsia="宋体" w:hAnsi="Arial"/>
                <w:sz w:val="18"/>
                <w:szCs w:val="18"/>
                <w:lang w:val="en-US" w:eastAsia="zh-CN"/>
              </w:rPr>
              <w:t xml:space="preserve">. </w:t>
            </w:r>
            <w:bookmarkEnd w:id="12"/>
          </w:p>
        </w:tc>
      </w:tr>
      <w:tr w:rsidR="00617493" w14:paraId="6ED4DD65" w14:textId="77777777">
        <w:trPr>
          <w:jc w:val="center"/>
        </w:trPr>
        <w:tc>
          <w:tcPr>
            <w:tcW w:w="0" w:type="auto"/>
            <w:shd w:val="clear" w:color="auto" w:fill="D9E8FF"/>
          </w:tcPr>
          <w:p w14:paraId="045FEB5C" w14:textId="77777777" w:rsidR="00617493" w:rsidRDefault="00000000">
            <w:pPr>
              <w:rPr>
                <w:rFonts w:ascii="Arial" w:eastAsia="Times" w:hAnsi="Arial"/>
                <w:sz w:val="18"/>
                <w:szCs w:val="18"/>
              </w:rPr>
            </w:pPr>
            <w:r>
              <w:rPr>
                <w:rFonts w:ascii="Arial" w:eastAsia="Times" w:hAnsi="Arial"/>
                <w:snapToGrid w:val="0"/>
                <w:sz w:val="18"/>
                <w:szCs w:val="18"/>
              </w:rPr>
              <w:t>Availability of expertise needed to apply the phytosanitary treatment</w:t>
            </w:r>
          </w:p>
        </w:tc>
      </w:tr>
      <w:tr w:rsidR="00617493" w14:paraId="2D68486D" w14:textId="77777777">
        <w:trPr>
          <w:jc w:val="center"/>
        </w:trPr>
        <w:tc>
          <w:tcPr>
            <w:tcW w:w="0" w:type="auto"/>
            <w:tcBorders>
              <w:bottom w:val="single" w:sz="4" w:space="0" w:color="auto"/>
            </w:tcBorders>
          </w:tcPr>
          <w:p w14:paraId="773E55A3"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宋体" w:hAnsi="Arial" w:hint="eastAsia"/>
                <w:sz w:val="18"/>
                <w:szCs w:val="18"/>
                <w:lang w:val="en-US" w:eastAsia="zh-CN"/>
              </w:rPr>
              <w:t>P</w:t>
            </w:r>
            <w:r>
              <w:rPr>
                <w:rFonts w:ascii="Arial" w:eastAsia="Times" w:hAnsi="Arial" w:hint="eastAsia"/>
                <w:sz w:val="18"/>
                <w:szCs w:val="18"/>
              </w:rPr>
              <w:t xml:space="preserve">hytosanitary irradiation treatment operator and </w:t>
            </w:r>
            <w:r>
              <w:rPr>
                <w:rFonts w:ascii="Arial" w:eastAsiaTheme="minorEastAsia" w:hAnsi="Arial" w:cs="Arial" w:hint="eastAsia"/>
                <w:sz w:val="18"/>
                <w:szCs w:val="18"/>
                <w:lang w:val="en-US"/>
              </w:rPr>
              <w:t>supervisor</w:t>
            </w:r>
            <w:r>
              <w:rPr>
                <w:rFonts w:ascii="Arial" w:eastAsia="Times" w:hAnsi="Arial" w:hint="eastAsia"/>
                <w:sz w:val="18"/>
                <w:szCs w:val="18"/>
              </w:rPr>
              <w:t xml:space="preserve"> need techniques on irradiation, plant quarantine. Expertise that is generally available at commercial food irradiation facilities and NPPO.</w:t>
            </w:r>
          </w:p>
        </w:tc>
      </w:tr>
      <w:tr w:rsidR="00617493" w14:paraId="2175E681" w14:textId="77777777">
        <w:trPr>
          <w:jc w:val="center"/>
        </w:trPr>
        <w:tc>
          <w:tcPr>
            <w:tcW w:w="0" w:type="auto"/>
            <w:shd w:val="clear" w:color="auto" w:fill="D9E8FF"/>
          </w:tcPr>
          <w:p w14:paraId="14AF3AF8" w14:textId="77777777" w:rsidR="00617493" w:rsidRDefault="00000000">
            <w:pPr>
              <w:rPr>
                <w:rFonts w:ascii="Arial" w:eastAsia="Times" w:hAnsi="Arial"/>
                <w:sz w:val="18"/>
                <w:szCs w:val="18"/>
              </w:rPr>
            </w:pPr>
            <w:r>
              <w:rPr>
                <w:rFonts w:ascii="Arial" w:eastAsia="Times" w:hAnsi="Arial"/>
                <w:snapToGrid w:val="0"/>
                <w:color w:val="000000"/>
                <w:sz w:val="18"/>
                <w:szCs w:val="18"/>
              </w:rPr>
              <w:t>Versatility of the phytosanitary treatment</w:t>
            </w:r>
          </w:p>
        </w:tc>
      </w:tr>
      <w:tr w:rsidR="00617493" w14:paraId="25F263BD" w14:textId="77777777">
        <w:trPr>
          <w:jc w:val="center"/>
        </w:trPr>
        <w:tc>
          <w:tcPr>
            <w:tcW w:w="0" w:type="auto"/>
            <w:tcBorders>
              <w:bottom w:val="single" w:sz="4" w:space="0" w:color="auto"/>
            </w:tcBorders>
          </w:tcPr>
          <w:p w14:paraId="4318B55C"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Times" w:hAnsi="Arial" w:hint="eastAsia"/>
                <w:sz w:val="18"/>
                <w:szCs w:val="18"/>
              </w:rPr>
              <w:t xml:space="preserve">Phytosanitary irradiation treatment can apply to a </w:t>
            </w:r>
            <w:r>
              <w:rPr>
                <w:rFonts w:ascii="Arial" w:eastAsiaTheme="minorEastAsia" w:hAnsi="Arial" w:cs="Arial" w:hint="eastAsia"/>
                <w:sz w:val="18"/>
                <w:szCs w:val="18"/>
                <w:lang w:val="en-US"/>
              </w:rPr>
              <w:t>wide</w:t>
            </w:r>
            <w:r>
              <w:rPr>
                <w:rFonts w:ascii="Arial" w:eastAsia="Times" w:hAnsi="Arial" w:hint="eastAsia"/>
                <w:sz w:val="18"/>
                <w:szCs w:val="18"/>
              </w:rPr>
              <w:t xml:space="preserve"> range of countries, pests and commodities.</w:t>
            </w:r>
            <w:r>
              <w:rPr>
                <w:rFonts w:ascii="Arial" w:eastAsia="Times" w:hAnsi="Arial"/>
                <w:sz w:val="18"/>
                <w:szCs w:val="18"/>
              </w:rPr>
              <w:t xml:space="preserve"> </w:t>
            </w:r>
            <w:r>
              <w:rPr>
                <w:rFonts w:ascii="Arial" w:eastAsia="Times" w:hAnsi="Arial" w:hint="eastAsia"/>
                <w:sz w:val="18"/>
                <w:szCs w:val="18"/>
              </w:rPr>
              <w:t>The application of MA has been used for controlling the stored arthropod pests by altering the concentration of oxygen (with N</w:t>
            </w:r>
            <w:r>
              <w:rPr>
                <w:rFonts w:ascii="Arial" w:eastAsia="Times" w:hAnsi="Arial" w:hint="eastAsia"/>
                <w:sz w:val="18"/>
                <w:szCs w:val="18"/>
                <w:vertAlign w:val="subscript"/>
              </w:rPr>
              <w:t>2</w:t>
            </w:r>
            <w:r>
              <w:rPr>
                <w:rFonts w:ascii="Arial" w:eastAsia="Times" w:hAnsi="Arial" w:hint="eastAsia"/>
                <w:sz w:val="18"/>
                <w:szCs w:val="18"/>
              </w:rPr>
              <w:t xml:space="preserve"> </w:t>
            </w:r>
            <w:r>
              <w:rPr>
                <w:rFonts w:ascii="Arial" w:eastAsia="Times" w:hAnsi="Arial" w:hint="eastAsia"/>
                <w:sz w:val="18"/>
                <w:szCs w:val="18"/>
              </w:rPr>
              <w:lastRenderedPageBreak/>
              <w:t>balance), carbon dioxide, or their combinations in the storage environment of products</w:t>
            </w:r>
            <w:r>
              <w:rPr>
                <w:rFonts w:ascii="Arial" w:eastAsia="宋体" w:hAnsi="Arial" w:hint="eastAsia"/>
                <w:sz w:val="18"/>
                <w:szCs w:val="18"/>
                <w:lang w:val="en-US" w:eastAsia="zh-CN"/>
              </w:rPr>
              <w:t>.</w:t>
            </w:r>
          </w:p>
        </w:tc>
      </w:tr>
      <w:tr w:rsidR="00617493" w14:paraId="2E3AD73F" w14:textId="77777777">
        <w:trPr>
          <w:jc w:val="center"/>
        </w:trPr>
        <w:tc>
          <w:tcPr>
            <w:tcW w:w="0" w:type="auto"/>
            <w:shd w:val="clear" w:color="auto" w:fill="D9E8FF"/>
          </w:tcPr>
          <w:p w14:paraId="5EE910EA" w14:textId="77777777" w:rsidR="00617493" w:rsidRDefault="00000000">
            <w:pPr>
              <w:rPr>
                <w:rFonts w:ascii="Arial" w:eastAsia="Times" w:hAnsi="Arial"/>
                <w:sz w:val="18"/>
                <w:szCs w:val="18"/>
              </w:rPr>
            </w:pPr>
            <w:r>
              <w:rPr>
                <w:rFonts w:ascii="Arial" w:eastAsia="Times" w:hAnsi="Arial"/>
                <w:snapToGrid w:val="0"/>
                <w:color w:val="000000"/>
                <w:sz w:val="18"/>
                <w:szCs w:val="18"/>
              </w:rPr>
              <w:lastRenderedPageBreak/>
              <w:t>The degree to which the phytosanitary treatment complements other phytosanitary measures</w:t>
            </w:r>
          </w:p>
        </w:tc>
      </w:tr>
      <w:tr w:rsidR="00617493" w14:paraId="65093AD0" w14:textId="77777777">
        <w:trPr>
          <w:jc w:val="center"/>
        </w:trPr>
        <w:tc>
          <w:tcPr>
            <w:tcW w:w="0" w:type="auto"/>
            <w:tcBorders>
              <w:bottom w:val="single" w:sz="4" w:space="0" w:color="auto"/>
            </w:tcBorders>
          </w:tcPr>
          <w:p w14:paraId="2260577E"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宋体" w:hAnsi="Arial" w:hint="eastAsia"/>
                <w:sz w:val="18"/>
                <w:szCs w:val="18"/>
                <w:lang w:val="en-US" w:eastAsia="zh-CN"/>
              </w:rPr>
              <w:t>PI</w:t>
            </w:r>
            <w:r>
              <w:rPr>
                <w:rFonts w:ascii="Arial" w:eastAsia="Times" w:hAnsi="Arial" w:hint="eastAsia"/>
                <w:sz w:val="18"/>
                <w:szCs w:val="18"/>
              </w:rPr>
              <w:t xml:space="preserve"> treatment </w:t>
            </w:r>
            <w:r>
              <w:rPr>
                <w:rFonts w:ascii="Arial" w:eastAsia="宋体" w:hAnsi="Arial" w:hint="eastAsia"/>
                <w:sz w:val="18"/>
                <w:szCs w:val="18"/>
                <w:lang w:val="en-US" w:eastAsia="zh-CN"/>
              </w:rPr>
              <w:t>and MA treatment are</w:t>
            </w:r>
            <w:r>
              <w:rPr>
                <w:rFonts w:ascii="Arial" w:eastAsia="Times" w:hAnsi="Arial" w:hint="eastAsia"/>
                <w:sz w:val="18"/>
                <w:szCs w:val="18"/>
              </w:rPr>
              <w:t xml:space="preserve"> potential measure</w:t>
            </w:r>
            <w:r>
              <w:rPr>
                <w:rFonts w:ascii="Arial" w:eastAsia="宋体" w:hAnsi="Arial" w:hint="eastAsia"/>
                <w:sz w:val="18"/>
                <w:szCs w:val="18"/>
                <w:lang w:val="en-US" w:eastAsia="zh-CN"/>
              </w:rPr>
              <w:t>s</w:t>
            </w:r>
            <w:r>
              <w:rPr>
                <w:rFonts w:ascii="Arial" w:eastAsia="Times" w:hAnsi="Arial" w:hint="eastAsia"/>
                <w:sz w:val="18"/>
                <w:szCs w:val="18"/>
              </w:rPr>
              <w:t xml:space="preserve"> to be used as part of systems approach for one pest or to complement treatments for other pests.</w:t>
            </w:r>
          </w:p>
        </w:tc>
      </w:tr>
      <w:tr w:rsidR="00617493" w14:paraId="6F3301B4" w14:textId="77777777">
        <w:trPr>
          <w:jc w:val="center"/>
        </w:trPr>
        <w:tc>
          <w:tcPr>
            <w:tcW w:w="0" w:type="auto"/>
            <w:shd w:val="clear" w:color="auto" w:fill="D9E8FF"/>
          </w:tcPr>
          <w:p w14:paraId="2E2226B0" w14:textId="77777777" w:rsidR="00617493" w:rsidRDefault="00000000">
            <w:pPr>
              <w:rPr>
                <w:rFonts w:ascii="Arial" w:eastAsia="Times" w:hAnsi="Arial"/>
                <w:sz w:val="18"/>
                <w:szCs w:val="18"/>
              </w:rPr>
            </w:pPr>
            <w:r>
              <w:rPr>
                <w:rFonts w:ascii="Arial" w:eastAsia="Times" w:hAnsi="Arial"/>
                <w:snapToGrid w:val="0"/>
                <w:sz w:val="18"/>
                <w:szCs w:val="18"/>
              </w:rPr>
              <w:t xml:space="preserve">Summary of available information </w:t>
            </w:r>
            <w:r>
              <w:rPr>
                <w:rFonts w:ascii="Arial" w:eastAsia="Times" w:hAnsi="Arial"/>
                <w:snapToGrid w:val="0"/>
                <w:color w:val="000000"/>
                <w:sz w:val="18"/>
                <w:szCs w:val="18"/>
              </w:rPr>
              <w:t>of potential undesirable side-effects</w:t>
            </w:r>
          </w:p>
        </w:tc>
      </w:tr>
      <w:tr w:rsidR="00617493" w14:paraId="1DD5120E" w14:textId="77777777">
        <w:trPr>
          <w:jc w:val="center"/>
        </w:trPr>
        <w:tc>
          <w:tcPr>
            <w:tcW w:w="0" w:type="auto"/>
            <w:tcBorders>
              <w:bottom w:val="single" w:sz="4" w:space="0" w:color="auto"/>
            </w:tcBorders>
          </w:tcPr>
          <w:p w14:paraId="12D55971"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P</w:t>
            </w:r>
            <w:r>
              <w:rPr>
                <w:rFonts w:ascii="Arial" w:eastAsia="宋体" w:hAnsi="Arial" w:hint="eastAsia"/>
                <w:sz w:val="18"/>
                <w:szCs w:val="18"/>
                <w:lang w:val="en-US" w:eastAsia="zh-CN"/>
              </w:rPr>
              <w:t>I</w:t>
            </w:r>
            <w:r>
              <w:rPr>
                <w:rFonts w:ascii="Arial" w:eastAsia="Times" w:hAnsi="Arial" w:hint="eastAsia"/>
                <w:sz w:val="18"/>
                <w:szCs w:val="18"/>
              </w:rPr>
              <w:t xml:space="preserve"> treatment</w:t>
            </w:r>
            <w:r>
              <w:rPr>
                <w:rFonts w:ascii="Arial" w:eastAsia="宋体" w:hAnsi="Arial" w:hint="eastAsia"/>
                <w:sz w:val="18"/>
                <w:szCs w:val="18"/>
                <w:lang w:val="en-US" w:eastAsia="zh-CN"/>
              </w:rPr>
              <w:t xml:space="preserve"> and MA treatment</w:t>
            </w:r>
            <w:r>
              <w:rPr>
                <w:rFonts w:ascii="Arial" w:eastAsia="Times" w:hAnsi="Arial" w:hint="eastAsia"/>
                <w:sz w:val="18"/>
                <w:szCs w:val="18"/>
              </w:rPr>
              <w:t xml:space="preserve"> do not impact on the environment, on non-target organisms, human and animal health. Irradiation may cause some damage to some commodities but it is usually less than any alternative treatment. </w:t>
            </w:r>
          </w:p>
        </w:tc>
      </w:tr>
      <w:tr w:rsidR="00617493" w14:paraId="4AE0FE2A" w14:textId="77777777">
        <w:trPr>
          <w:jc w:val="center"/>
        </w:trPr>
        <w:tc>
          <w:tcPr>
            <w:tcW w:w="0" w:type="auto"/>
            <w:shd w:val="clear" w:color="auto" w:fill="D9E8FF"/>
          </w:tcPr>
          <w:p w14:paraId="122259F0" w14:textId="77777777" w:rsidR="00617493" w:rsidRDefault="00000000">
            <w:pPr>
              <w:rPr>
                <w:rFonts w:ascii="Arial" w:eastAsia="Times" w:hAnsi="Arial"/>
                <w:sz w:val="18"/>
                <w:szCs w:val="18"/>
              </w:rPr>
            </w:pPr>
            <w:r>
              <w:rPr>
                <w:rFonts w:ascii="Arial" w:eastAsia="Times" w:hAnsi="Arial"/>
                <w:snapToGrid w:val="0"/>
                <w:color w:val="000000"/>
                <w:sz w:val="18"/>
                <w:szCs w:val="18"/>
              </w:rPr>
              <w:t>Applicability of treatment with respect to specific regulated article/pest combinations</w:t>
            </w:r>
          </w:p>
        </w:tc>
      </w:tr>
      <w:tr w:rsidR="00617493" w14:paraId="3193858A" w14:textId="77777777">
        <w:trPr>
          <w:jc w:val="center"/>
        </w:trPr>
        <w:tc>
          <w:tcPr>
            <w:tcW w:w="0" w:type="auto"/>
            <w:tcBorders>
              <w:bottom w:val="single" w:sz="4" w:space="0" w:color="auto"/>
            </w:tcBorders>
          </w:tcPr>
          <w:p w14:paraId="34837104" w14:textId="16B0999C"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Times" w:hAnsi="Arial" w:hint="eastAsia"/>
                <w:sz w:val="18"/>
                <w:szCs w:val="18"/>
              </w:rPr>
              <w:t>It is highly applicable to hosts (i.e.</w:t>
            </w:r>
            <w:r w:rsidR="002D4091">
              <w:rPr>
                <w:rFonts w:ascii="Arial" w:eastAsia="Times" w:hAnsi="Arial"/>
                <w:sz w:val="18"/>
                <w:szCs w:val="18"/>
              </w:rPr>
              <w:t>,</w:t>
            </w:r>
            <w:r>
              <w:rPr>
                <w:rFonts w:ascii="Arial" w:eastAsia="Times" w:hAnsi="Arial" w:hint="eastAsia"/>
                <w:sz w:val="18"/>
                <w:szCs w:val="18"/>
              </w:rPr>
              <w:t xml:space="preserve"> seeds; beans; nuts) of </w:t>
            </w:r>
            <w:r>
              <w:rPr>
                <w:rFonts w:ascii="Arial" w:eastAsia="Times" w:hAnsi="Arial" w:hint="eastAsia"/>
                <w:i/>
                <w:iCs/>
                <w:sz w:val="18"/>
                <w:szCs w:val="18"/>
              </w:rPr>
              <w:t>T</w:t>
            </w:r>
            <w:r w:rsidR="002D4091">
              <w:rPr>
                <w:rFonts w:ascii="Arial" w:eastAsia="Times" w:hAnsi="Arial"/>
                <w:i/>
                <w:iCs/>
                <w:sz w:val="18"/>
                <w:szCs w:val="18"/>
              </w:rPr>
              <w:t>rogoderma</w:t>
            </w:r>
            <w:r>
              <w:rPr>
                <w:rFonts w:ascii="Arial" w:eastAsia="Times" w:hAnsi="Arial" w:hint="eastAsia"/>
                <w:i/>
                <w:iCs/>
                <w:sz w:val="18"/>
                <w:szCs w:val="18"/>
              </w:rPr>
              <w:t xml:space="preserve"> granarium</w:t>
            </w:r>
            <w:r>
              <w:rPr>
                <w:rFonts w:ascii="Arial" w:eastAsia="Times" w:hAnsi="Arial" w:hint="eastAsia"/>
                <w:sz w:val="18"/>
                <w:szCs w:val="18"/>
              </w:rPr>
              <w:t>.</w:t>
            </w:r>
          </w:p>
        </w:tc>
      </w:tr>
      <w:tr w:rsidR="00617493" w14:paraId="7E919B1A" w14:textId="77777777">
        <w:trPr>
          <w:jc w:val="center"/>
        </w:trPr>
        <w:tc>
          <w:tcPr>
            <w:tcW w:w="0" w:type="auto"/>
            <w:shd w:val="clear" w:color="auto" w:fill="D9E8FF"/>
          </w:tcPr>
          <w:p w14:paraId="0376C5DF" w14:textId="77777777" w:rsidR="00617493" w:rsidRDefault="00000000">
            <w:pPr>
              <w:rPr>
                <w:rFonts w:ascii="Arial" w:eastAsia="Times" w:hAnsi="Arial"/>
                <w:sz w:val="18"/>
                <w:szCs w:val="18"/>
              </w:rPr>
            </w:pPr>
            <w:r>
              <w:rPr>
                <w:rFonts w:ascii="Arial" w:eastAsia="Times" w:hAnsi="Arial"/>
                <w:sz w:val="18"/>
                <w:szCs w:val="18"/>
              </w:rPr>
              <w:t>Technical viability</w:t>
            </w:r>
          </w:p>
        </w:tc>
      </w:tr>
      <w:tr w:rsidR="00617493" w14:paraId="79391CE8" w14:textId="77777777">
        <w:trPr>
          <w:jc w:val="center"/>
        </w:trPr>
        <w:tc>
          <w:tcPr>
            <w:tcW w:w="0" w:type="auto"/>
            <w:tcBorders>
              <w:bottom w:val="single" w:sz="4" w:space="0" w:color="auto"/>
            </w:tcBorders>
          </w:tcPr>
          <w:p w14:paraId="32F84343" w14:textId="77777777" w:rsidR="00617493" w:rsidRDefault="00000000">
            <w:pPr>
              <w:widowControl w:val="0"/>
              <w:autoSpaceDE w:val="0"/>
              <w:autoSpaceDN w:val="0"/>
              <w:adjustRightInd w:val="0"/>
              <w:spacing w:beforeLines="50" w:before="120" w:afterLines="50" w:after="120"/>
              <w:jc w:val="left"/>
              <w:rPr>
                <w:rFonts w:ascii="Arial" w:eastAsia="Times" w:hAnsi="Arial"/>
                <w:sz w:val="18"/>
                <w:szCs w:val="18"/>
              </w:rPr>
            </w:pPr>
            <w:r>
              <w:rPr>
                <w:rFonts w:ascii="Arial" w:eastAsia="宋体" w:hAnsi="Arial" w:hint="eastAsia"/>
                <w:sz w:val="18"/>
                <w:szCs w:val="18"/>
                <w:lang w:val="en-US" w:eastAsia="zh-CN"/>
              </w:rPr>
              <w:t>PI and MA</w:t>
            </w:r>
            <w:r>
              <w:rPr>
                <w:rFonts w:ascii="Arial" w:eastAsia="Times" w:hAnsi="Arial" w:hint="eastAsia"/>
                <w:sz w:val="18"/>
                <w:szCs w:val="18"/>
              </w:rPr>
              <w:t xml:space="preserve"> </w:t>
            </w:r>
            <w:r>
              <w:rPr>
                <w:rFonts w:ascii="Arial" w:eastAsia="宋体" w:hAnsi="Arial" w:hint="eastAsia"/>
                <w:sz w:val="18"/>
                <w:szCs w:val="18"/>
                <w:lang w:val="en-US" w:eastAsia="zh-CN"/>
              </w:rPr>
              <w:t>are</w:t>
            </w:r>
            <w:r>
              <w:rPr>
                <w:rFonts w:ascii="Arial" w:eastAsia="Times" w:hAnsi="Arial" w:hint="eastAsia"/>
                <w:sz w:val="18"/>
                <w:szCs w:val="18"/>
              </w:rPr>
              <w:t xml:space="preserve"> confirmed as effective </w:t>
            </w:r>
            <w:r>
              <w:rPr>
                <w:rFonts w:ascii="Arial" w:eastAsiaTheme="minorEastAsia" w:hAnsi="Arial" w:cs="Arial" w:hint="eastAsia"/>
                <w:sz w:val="18"/>
                <w:szCs w:val="18"/>
                <w:lang w:val="en-US"/>
              </w:rPr>
              <w:t>alternative</w:t>
            </w:r>
            <w:r>
              <w:rPr>
                <w:rFonts w:ascii="Arial" w:eastAsia="Times" w:hAnsi="Arial" w:hint="eastAsia"/>
                <w:sz w:val="18"/>
                <w:szCs w:val="18"/>
              </w:rPr>
              <w:t xml:space="preserve"> to Methyl Bromide fumigation </w:t>
            </w:r>
            <w:r>
              <w:rPr>
                <w:rFonts w:ascii="Arial" w:eastAsia="宋体" w:hAnsi="Arial" w:hint="eastAsia"/>
                <w:sz w:val="18"/>
                <w:szCs w:val="18"/>
                <w:lang w:val="en-US" w:eastAsia="zh-CN"/>
              </w:rPr>
              <w:t xml:space="preserve">and </w:t>
            </w:r>
            <w:r>
              <w:rPr>
                <w:rFonts w:ascii="Arial" w:eastAsia="Times" w:hAnsi="Arial" w:hint="eastAsia"/>
                <w:sz w:val="18"/>
                <w:szCs w:val="18"/>
              </w:rPr>
              <w:t>currently being used on a commercial scale in a growing number of countries.</w:t>
            </w:r>
          </w:p>
        </w:tc>
      </w:tr>
      <w:tr w:rsidR="00617493" w14:paraId="4AA7DE50" w14:textId="77777777">
        <w:trPr>
          <w:jc w:val="center"/>
        </w:trPr>
        <w:tc>
          <w:tcPr>
            <w:tcW w:w="0" w:type="auto"/>
            <w:shd w:val="clear" w:color="auto" w:fill="D9E8FF"/>
          </w:tcPr>
          <w:p w14:paraId="1F16D9A2" w14:textId="77777777" w:rsidR="00617493" w:rsidRDefault="00000000">
            <w:pPr>
              <w:rPr>
                <w:rFonts w:ascii="Arial" w:eastAsia="Times" w:hAnsi="Arial"/>
                <w:sz w:val="18"/>
                <w:szCs w:val="18"/>
              </w:rPr>
            </w:pPr>
            <w:r>
              <w:rPr>
                <w:rFonts w:ascii="Arial" w:eastAsia="Times" w:hAnsi="Arial"/>
                <w:sz w:val="18"/>
                <w:szCs w:val="18"/>
              </w:rPr>
              <w:t>Phytotoxicity and other effects on the quality of regulated articles, when appropriate</w:t>
            </w:r>
          </w:p>
        </w:tc>
      </w:tr>
      <w:tr w:rsidR="00617493" w14:paraId="525613F5" w14:textId="77777777">
        <w:trPr>
          <w:jc w:val="center"/>
        </w:trPr>
        <w:tc>
          <w:tcPr>
            <w:tcW w:w="0" w:type="auto"/>
            <w:tcBorders>
              <w:bottom w:val="single" w:sz="4" w:space="0" w:color="auto"/>
            </w:tcBorders>
          </w:tcPr>
          <w:p w14:paraId="25088153"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hAnsi="Arial" w:cs="Arial"/>
                <w:sz w:val="18"/>
                <w:szCs w:val="18"/>
              </w:rPr>
              <w:t xml:space="preserve">The International Commission on Food </w:t>
            </w:r>
            <w:r>
              <w:rPr>
                <w:rFonts w:ascii="Arial" w:eastAsiaTheme="minorEastAsia" w:hAnsi="Arial" w:cs="Arial"/>
                <w:sz w:val="18"/>
                <w:szCs w:val="18"/>
                <w:lang w:val="en-US"/>
              </w:rPr>
              <w:t>Irradiation</w:t>
            </w:r>
            <w:r>
              <w:rPr>
                <w:rFonts w:ascii="Arial" w:hAnsi="Arial" w:cs="Arial"/>
                <w:sz w:val="18"/>
                <w:szCs w:val="18"/>
              </w:rPr>
              <w:t xml:space="preserve"> (ICFI) recommends a maximum dose of 10 (kGy), which is considered a safe and effective irradiation dose</w:t>
            </w:r>
            <w:r>
              <w:rPr>
                <w:rFonts w:ascii="Arial" w:eastAsia="宋体" w:hAnsi="Arial" w:cs="Arial" w:hint="eastAsia"/>
                <w:sz w:val="18"/>
                <w:szCs w:val="18"/>
                <w:lang w:val="en-US" w:eastAsia="zh-CN"/>
              </w:rPr>
              <w:t>, and most stored commodities can be stored at an oxygen concentration of 1%.</w:t>
            </w:r>
          </w:p>
        </w:tc>
      </w:tr>
      <w:tr w:rsidR="00617493" w14:paraId="39E7A013" w14:textId="77777777">
        <w:trPr>
          <w:jc w:val="center"/>
        </w:trPr>
        <w:tc>
          <w:tcPr>
            <w:tcW w:w="0" w:type="auto"/>
            <w:shd w:val="clear" w:color="auto" w:fill="D9E8FF"/>
          </w:tcPr>
          <w:p w14:paraId="4B4890CB" w14:textId="77777777" w:rsidR="00617493" w:rsidRDefault="00000000">
            <w:pPr>
              <w:rPr>
                <w:rFonts w:ascii="Arial" w:eastAsia="Times" w:hAnsi="Arial"/>
                <w:sz w:val="18"/>
                <w:szCs w:val="18"/>
              </w:rPr>
            </w:pPr>
            <w:r>
              <w:rPr>
                <w:rFonts w:ascii="Arial" w:eastAsia="Times" w:hAnsi="Arial"/>
                <w:sz w:val="18"/>
                <w:szCs w:val="18"/>
              </w:rPr>
              <w:t>Consideration of the risk of the target organism having or developing resistance to the treatment</w:t>
            </w:r>
          </w:p>
        </w:tc>
      </w:tr>
      <w:tr w:rsidR="00617493" w14:paraId="1D84A658" w14:textId="77777777">
        <w:trPr>
          <w:jc w:val="center"/>
        </w:trPr>
        <w:tc>
          <w:tcPr>
            <w:tcW w:w="0" w:type="auto"/>
          </w:tcPr>
          <w:p w14:paraId="05F4DB10" w14:textId="77777777" w:rsidR="00617493" w:rsidRDefault="00000000">
            <w:pPr>
              <w:widowControl w:val="0"/>
              <w:autoSpaceDE w:val="0"/>
              <w:autoSpaceDN w:val="0"/>
              <w:adjustRightInd w:val="0"/>
              <w:spacing w:beforeLines="50" w:before="120" w:afterLines="50" w:after="120"/>
              <w:jc w:val="left"/>
              <w:rPr>
                <w:rFonts w:ascii="Arial" w:eastAsia="宋体" w:hAnsi="Arial"/>
                <w:sz w:val="18"/>
                <w:szCs w:val="18"/>
                <w:lang w:val="en-US" w:eastAsia="zh-CN"/>
              </w:rPr>
            </w:pPr>
            <w:r>
              <w:rPr>
                <w:rFonts w:ascii="Arial" w:eastAsia="Times" w:hAnsi="Arial" w:hint="eastAsia"/>
                <w:sz w:val="18"/>
                <w:szCs w:val="18"/>
              </w:rPr>
              <w:t xml:space="preserve">There is no documented resistance </w:t>
            </w:r>
            <w:r>
              <w:rPr>
                <w:rFonts w:ascii="Arial" w:eastAsiaTheme="minorEastAsia" w:hAnsi="Arial" w:cs="Arial" w:hint="eastAsia"/>
                <w:sz w:val="18"/>
                <w:szCs w:val="18"/>
                <w:lang w:val="en-US"/>
              </w:rPr>
              <w:t>development</w:t>
            </w:r>
            <w:r>
              <w:rPr>
                <w:rFonts w:ascii="Arial" w:eastAsia="Times" w:hAnsi="Arial" w:hint="eastAsia"/>
                <w:sz w:val="18"/>
                <w:szCs w:val="18"/>
              </w:rPr>
              <w:t xml:space="preserve"> in insects to ionizing radiation</w:t>
            </w:r>
            <w:r>
              <w:rPr>
                <w:rFonts w:ascii="Arial" w:eastAsia="宋体" w:hAnsi="Arial" w:hint="eastAsia"/>
                <w:sz w:val="18"/>
                <w:szCs w:val="18"/>
                <w:lang w:val="en-US" w:eastAsia="zh-CN"/>
              </w:rPr>
              <w:t>, but grain pests may be tolerant to low oxygen conditions. The advantage for this combination is that the low-oxygen MA-irradiation combination could provide quarantine security at a high level, even if the diapausing larvae are presented in commodities.</w:t>
            </w:r>
          </w:p>
        </w:tc>
      </w:tr>
    </w:tbl>
    <w:p w14:paraId="04EE33EC" w14:textId="77777777" w:rsidR="00617493" w:rsidRDefault="00617493">
      <w:pPr>
        <w:tabs>
          <w:tab w:val="left" w:pos="2040"/>
          <w:tab w:val="left" w:pos="4920"/>
        </w:tabs>
        <w:outlineLvl w:val="0"/>
        <w:rPr>
          <w:b/>
          <w:sz w:val="18"/>
          <w:szCs w:val="18"/>
          <w:u w:val="single"/>
        </w:rPr>
      </w:pPr>
      <w:bookmarkStart w:id="13" w:name="_Toc340155615"/>
      <w:bookmarkStart w:id="14" w:name="_Toc462308609"/>
      <w:bookmarkStart w:id="15" w:name="_Toc340155525"/>
      <w:bookmarkStart w:id="16" w:name="_Toc462060134"/>
      <w:bookmarkStart w:id="17" w:name="_Toc340135143"/>
      <w:bookmarkStart w:id="18" w:name="_Toc463019489"/>
      <w:bookmarkStart w:id="19" w:name="_Toc463359121"/>
    </w:p>
    <w:p w14:paraId="414A8FD2" w14:textId="77777777" w:rsidR="00617493" w:rsidRDefault="00000000">
      <w:pPr>
        <w:tabs>
          <w:tab w:val="left" w:pos="2040"/>
          <w:tab w:val="left" w:pos="4920"/>
        </w:tabs>
        <w:outlineLvl w:val="0"/>
        <w:rPr>
          <w:b/>
          <w:sz w:val="18"/>
          <w:szCs w:val="18"/>
          <w:u w:val="single"/>
        </w:rPr>
      </w:pPr>
      <w:r>
        <w:rPr>
          <w:b/>
          <w:sz w:val="18"/>
          <w:szCs w:val="18"/>
          <w:u w:val="single"/>
        </w:rPr>
        <w:t>Send submissions to:</w:t>
      </w:r>
      <w:bookmarkEnd w:id="13"/>
      <w:bookmarkEnd w:id="14"/>
      <w:bookmarkEnd w:id="15"/>
      <w:bookmarkEnd w:id="16"/>
      <w:bookmarkEnd w:id="17"/>
      <w:bookmarkEnd w:id="18"/>
      <w:bookmarkEnd w:id="19"/>
    </w:p>
    <w:p w14:paraId="647C2FC6" w14:textId="77777777" w:rsidR="00617493" w:rsidRDefault="00000000">
      <w:pPr>
        <w:tabs>
          <w:tab w:val="left" w:pos="2600"/>
          <w:tab w:val="left" w:pos="5500"/>
        </w:tabs>
        <w:rPr>
          <w:sz w:val="18"/>
          <w:szCs w:val="18"/>
        </w:rPr>
      </w:pPr>
      <w:r>
        <w:rPr>
          <w:b/>
          <w:sz w:val="18"/>
          <w:szCs w:val="18"/>
        </w:rPr>
        <w:t>E-mail:</w:t>
      </w:r>
      <w:r>
        <w:rPr>
          <w:sz w:val="18"/>
          <w:szCs w:val="18"/>
        </w:rPr>
        <w:t xml:space="preserve"> </w:t>
      </w:r>
      <w:hyperlink r:id="rId19" w:history="1">
        <w:r>
          <w:rPr>
            <w:color w:val="3366FF"/>
            <w:sz w:val="18"/>
            <w:szCs w:val="18"/>
            <w:u w:val="single"/>
          </w:rPr>
          <w:t>ippc@fao.org</w:t>
        </w:r>
      </w:hyperlink>
      <w:r>
        <w:rPr>
          <w:sz w:val="18"/>
          <w:szCs w:val="18"/>
        </w:rPr>
        <w:tab/>
      </w:r>
      <w:r>
        <w:rPr>
          <w:sz w:val="18"/>
          <w:szCs w:val="18"/>
        </w:rPr>
        <w:tab/>
      </w:r>
      <w:r>
        <w:rPr>
          <w:b/>
          <w:sz w:val="18"/>
          <w:szCs w:val="18"/>
        </w:rPr>
        <w:t>Mail:</w:t>
      </w:r>
      <w:r>
        <w:rPr>
          <w:sz w:val="18"/>
          <w:szCs w:val="18"/>
        </w:rPr>
        <w:t xml:space="preserve"> IPPC Secretariat (AGPP)</w:t>
      </w:r>
    </w:p>
    <w:p w14:paraId="0B419986" w14:textId="77777777" w:rsidR="00617493" w:rsidRDefault="00000000">
      <w:pPr>
        <w:tabs>
          <w:tab w:val="left" w:pos="2600"/>
          <w:tab w:val="left" w:pos="5500"/>
        </w:tabs>
        <w:ind w:right="-688"/>
        <w:rPr>
          <w:sz w:val="18"/>
          <w:szCs w:val="18"/>
        </w:rPr>
      </w:pPr>
      <w:r>
        <w:rPr>
          <w:b/>
          <w:sz w:val="18"/>
          <w:szCs w:val="18"/>
        </w:rPr>
        <w:t>(preferred)</w:t>
      </w:r>
      <w:r>
        <w:rPr>
          <w:sz w:val="18"/>
          <w:szCs w:val="18"/>
        </w:rPr>
        <w:tab/>
      </w:r>
      <w:r>
        <w:rPr>
          <w:sz w:val="18"/>
          <w:szCs w:val="18"/>
        </w:rPr>
        <w:tab/>
        <w:t>Food and Agriculture Organization of the UN</w:t>
      </w:r>
    </w:p>
    <w:p w14:paraId="6EAB4DF1" w14:textId="77777777" w:rsidR="00617493" w:rsidRDefault="00000000">
      <w:pPr>
        <w:tabs>
          <w:tab w:val="left" w:pos="2600"/>
          <w:tab w:val="left" w:pos="5500"/>
        </w:tabs>
        <w:rPr>
          <w:lang w:val="it-IT" w:eastAsia="ja-JP"/>
        </w:rPr>
      </w:pPr>
      <w:r>
        <w:rPr>
          <w:sz w:val="18"/>
          <w:szCs w:val="18"/>
        </w:rPr>
        <w:tab/>
      </w:r>
      <w:r>
        <w:rPr>
          <w:sz w:val="18"/>
          <w:szCs w:val="18"/>
        </w:rPr>
        <w:tab/>
      </w:r>
      <w:r>
        <w:rPr>
          <w:sz w:val="18"/>
          <w:szCs w:val="18"/>
          <w:lang w:val="it-IT"/>
        </w:rPr>
        <w:t xml:space="preserve">Viale delle Terme di Caracalla, </w:t>
      </w:r>
      <w:r>
        <w:rPr>
          <w:sz w:val="18"/>
          <w:szCs w:val="18"/>
          <w:lang w:val="it-IT"/>
        </w:rPr>
        <w:tab/>
      </w:r>
      <w:r>
        <w:rPr>
          <w:sz w:val="18"/>
          <w:szCs w:val="18"/>
          <w:lang w:val="it-IT"/>
        </w:rPr>
        <w:tab/>
      </w:r>
      <w:r>
        <w:rPr>
          <w:sz w:val="18"/>
          <w:szCs w:val="18"/>
          <w:lang w:val="it-IT"/>
        </w:rPr>
        <w:tab/>
      </w:r>
      <w:r>
        <w:rPr>
          <w:sz w:val="18"/>
          <w:szCs w:val="18"/>
          <w:lang w:val="it-IT"/>
        </w:rPr>
        <w:tab/>
      </w:r>
      <w:r>
        <w:rPr>
          <w:sz w:val="18"/>
          <w:szCs w:val="18"/>
          <w:lang w:val="it-IT"/>
        </w:rPr>
        <w:tab/>
        <w:t>00153 Rome, Italy</w:t>
      </w:r>
    </w:p>
    <w:p w14:paraId="3CDA1375" w14:textId="77777777" w:rsidR="00617493" w:rsidRDefault="00617493"/>
    <w:sectPr w:rsidR="00617493">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57E7" w14:textId="77777777" w:rsidR="00B64802" w:rsidRDefault="00B64802">
      <w:r>
        <w:separator/>
      </w:r>
    </w:p>
  </w:endnote>
  <w:endnote w:type="continuationSeparator" w:id="0">
    <w:p w14:paraId="15C51713" w14:textId="77777777" w:rsidR="00B64802" w:rsidRDefault="00B6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RWPalladioL-Roma">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6E45" w14:textId="77777777" w:rsidR="00617493" w:rsidRDefault="00000000">
    <w:pPr>
      <w:pStyle w:val="IPPFooter"/>
    </w:pPr>
    <w:r>
      <w:t>Page 2 of 4</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9BD3" w14:textId="77777777" w:rsidR="00617493" w:rsidRDefault="00000000">
    <w:pPr>
      <w:pStyle w:val="IPPFooter"/>
    </w:pPr>
    <w:r>
      <w:t xml:space="preserve">International Plant Protection Convention </w:t>
    </w:r>
    <w:r>
      <w:tab/>
      <w:t>Page 3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7235" w14:textId="77777777" w:rsidR="00617493" w:rsidRDefault="00000000">
    <w:pPr>
      <w:pStyle w:val="IPPFooter"/>
    </w:pPr>
    <w:r>
      <w:t>International Plant Protection Convention</w:t>
    </w:r>
    <w:r>
      <w:tab/>
      <w:t>Page 1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7F759" w14:textId="77777777" w:rsidR="00B64802" w:rsidRDefault="00B64802">
      <w:r>
        <w:separator/>
      </w:r>
    </w:p>
  </w:footnote>
  <w:footnote w:type="continuationSeparator" w:id="0">
    <w:p w14:paraId="2DDEF007" w14:textId="77777777" w:rsidR="00B64802" w:rsidRDefault="00B6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2346" w14:textId="77777777" w:rsidR="00617493" w:rsidRDefault="00000000">
    <w:pPr>
      <w:pStyle w:val="IPPHeader"/>
    </w:pPr>
    <w:r>
      <w:t>IPPC Procedure Manual for Standard Setting</w:t>
    </w:r>
    <w:r>
      <w:tab/>
      <w:t>TPPT – Submission form for PTs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093CD" w14:textId="77777777" w:rsidR="00617493" w:rsidRDefault="00000000">
    <w:pPr>
      <w:pStyle w:val="IPPHeader"/>
    </w:pPr>
    <w:r>
      <w:t>IPPC Procedure Manual for Standard Setting</w:t>
    </w:r>
    <w:r>
      <w:tab/>
      <w:t>TPPT – Submission form for PTs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E68A" w14:textId="77777777" w:rsidR="00617493" w:rsidRDefault="00000000">
    <w:pPr>
      <w:pStyle w:val="IPPHeader"/>
    </w:pPr>
    <w:r>
      <w:t>IPPC Procedure Manual for Standard Setting</w:t>
    </w:r>
    <w:r>
      <w:tab/>
      <w:t>TPPT – Submission form for PTs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multilevel"/>
    <w:tmpl w:val="03592949"/>
    <w:lvl w:ilvl="0">
      <w:start w:val="1"/>
      <w:numFmt w:val="decimal"/>
      <w:pStyle w:val="IPPNumberedList"/>
      <w:lvlText w:val="(%1)"/>
      <w:lvlJc w:val="left"/>
      <w:pPr>
        <w:tabs>
          <w:tab w:val="left"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C0A6C"/>
    <w:multiLevelType w:val="multilevel"/>
    <w:tmpl w:val="084C0A6C"/>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 w:ilvl="1">
      <w:start w:val="1"/>
      <w:numFmt w:val="none"/>
      <w:lvlRestart w:val="0"/>
      <w:lvlText w:val=""/>
      <w:lvlJc w:val="left"/>
      <w:pPr>
        <w:tabs>
          <w:tab w:val="left" w:pos="0"/>
        </w:tabs>
        <w:ind w:left="0" w:hanging="482"/>
      </w:pPr>
      <w:rPr>
        <w:rFonts w:hint="default"/>
      </w:rPr>
    </w:lvl>
    <w:lvl w:ilvl="2">
      <w:start w:val="1"/>
      <w:numFmt w:val="none"/>
      <w:lvlRestart w:val="0"/>
      <w:lvlText w:val=""/>
      <w:lvlJc w:val="left"/>
      <w:pPr>
        <w:tabs>
          <w:tab w:val="left" w:pos="0"/>
        </w:tabs>
        <w:ind w:left="0" w:hanging="482"/>
      </w:pPr>
      <w:rPr>
        <w:rFonts w:hint="default"/>
      </w:rPr>
    </w:lvl>
    <w:lvl w:ilvl="3">
      <w:start w:val="1"/>
      <w:numFmt w:val="none"/>
      <w:lvlRestart w:val="0"/>
      <w:lvlText w:val=""/>
      <w:lvlJc w:val="left"/>
      <w:pPr>
        <w:tabs>
          <w:tab w:val="left" w:pos="0"/>
        </w:tabs>
        <w:ind w:left="0" w:hanging="482"/>
      </w:pPr>
      <w:rPr>
        <w:rFonts w:hint="default"/>
      </w:rPr>
    </w:lvl>
    <w:lvl w:ilvl="4">
      <w:start w:val="1"/>
      <w:numFmt w:val="none"/>
      <w:lvlRestart w:val="0"/>
      <w:lvlText w:val=""/>
      <w:lvlJc w:val="left"/>
      <w:pPr>
        <w:tabs>
          <w:tab w:val="left" w:pos="0"/>
        </w:tabs>
        <w:ind w:left="0" w:hanging="482"/>
      </w:pPr>
      <w:rPr>
        <w:rFonts w:hint="default"/>
      </w:rPr>
    </w:lvl>
    <w:lvl w:ilvl="5">
      <w:start w:val="1"/>
      <w:numFmt w:val="none"/>
      <w:lvlRestart w:val="0"/>
      <w:lvlText w:val=""/>
      <w:lvlJc w:val="left"/>
      <w:pPr>
        <w:tabs>
          <w:tab w:val="left" w:pos="0"/>
        </w:tabs>
        <w:ind w:left="0" w:hanging="482"/>
      </w:pPr>
      <w:rPr>
        <w:rFonts w:hint="default"/>
      </w:rPr>
    </w:lvl>
    <w:lvl w:ilvl="6">
      <w:start w:val="1"/>
      <w:numFmt w:val="none"/>
      <w:lvlRestart w:val="0"/>
      <w:lvlText w:val=""/>
      <w:lvlJc w:val="left"/>
      <w:pPr>
        <w:tabs>
          <w:tab w:val="left" w:pos="0"/>
        </w:tabs>
        <w:ind w:left="0" w:hanging="482"/>
      </w:pPr>
      <w:rPr>
        <w:rFonts w:hint="default"/>
      </w:rPr>
    </w:lvl>
    <w:lvl w:ilvl="7">
      <w:start w:val="1"/>
      <w:numFmt w:val="none"/>
      <w:lvlRestart w:val="0"/>
      <w:lvlText w:val=""/>
      <w:lvlJc w:val="left"/>
      <w:pPr>
        <w:tabs>
          <w:tab w:val="left" w:pos="0"/>
        </w:tabs>
        <w:ind w:left="0" w:hanging="482"/>
      </w:pPr>
      <w:rPr>
        <w:rFonts w:hint="default"/>
      </w:rPr>
    </w:lvl>
    <w:lvl w:ilvl="8">
      <w:start w:val="1"/>
      <w:numFmt w:val="none"/>
      <w:lvlRestart w:val="0"/>
      <w:lvlText w:val=""/>
      <w:lvlJc w:val="left"/>
      <w:pPr>
        <w:tabs>
          <w:tab w:val="left" w:pos="0"/>
        </w:tabs>
        <w:ind w:left="0" w:hanging="482"/>
      </w:pPr>
      <w:rPr>
        <w:rFonts w:hint="default"/>
      </w:rPr>
    </w:lvl>
  </w:abstractNum>
  <w:abstractNum w:abstractNumId="2" w15:restartNumberingAfterBreak="0">
    <w:nsid w:val="0AAA575C"/>
    <w:multiLevelType w:val="multilevel"/>
    <w:tmpl w:val="0AAA575C"/>
    <w:lvl w:ilvl="0">
      <w:start w:val="1"/>
      <w:numFmt w:val="bullet"/>
      <w:pStyle w:val="IPPLetterListIndent"/>
      <w:lvlText w:val=""/>
      <w:lvlJc w:val="left"/>
      <w:pPr>
        <w:tabs>
          <w:tab w:val="left" w:pos="1701"/>
        </w:tabs>
        <w:ind w:left="1701" w:hanging="567"/>
      </w:pPr>
      <w:rPr>
        <w:rFonts w:ascii="Times New Roman" w:hAnsi="Times New Roman" w:hint="default"/>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0874F3"/>
    <w:multiLevelType w:val="multilevel"/>
    <w:tmpl w:val="3B0874F3"/>
    <w:lvl w:ilvl="0">
      <w:start w:val="1"/>
      <w:numFmt w:val="decimal"/>
      <w:pStyle w:val="IPPHdg1Num"/>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A776E5"/>
    <w:multiLevelType w:val="multilevel"/>
    <w:tmpl w:val="53A776E5"/>
    <w:lvl w:ilvl="0">
      <w:start w:val="1"/>
      <w:numFmt w:val="bullet"/>
      <w:pStyle w:val="IPPBullet1Last"/>
      <w:lvlText w:val="-"/>
      <w:lvlJc w:val="left"/>
      <w:pPr>
        <w:tabs>
          <w:tab w:val="left" w:pos="567"/>
        </w:tabs>
        <w:ind w:left="567"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AE0D6D"/>
    <w:multiLevelType w:val="multilevel"/>
    <w:tmpl w:val="65AE0D6D"/>
    <w:lvl w:ilvl="0">
      <w:start w:val="1"/>
      <w:numFmt w:val="lowerLetter"/>
      <w:pStyle w:val="IPPLetterList"/>
      <w:lvlText w:val="(%1)"/>
      <w:lvlJc w:val="left"/>
      <w:pPr>
        <w:tabs>
          <w:tab w:val="left" w:pos="1134"/>
        </w:tabs>
        <w:ind w:left="1134" w:hanging="567"/>
      </w:pPr>
      <w:rPr>
        <w:rFonts w:ascii="Times New Roman" w:hAnsi="Times New Roman"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354E39"/>
    <w:multiLevelType w:val="multilevel"/>
    <w:tmpl w:val="6A354E39"/>
    <w:lvl w:ilvl="0">
      <w:numFmt w:val="bullet"/>
      <w:pStyle w:val="IPPBullet1"/>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51D2757"/>
    <w:multiLevelType w:val="multilevel"/>
    <w:tmpl w:val="751D2757"/>
    <w:lvl w:ilvl="0">
      <w:start w:val="1"/>
      <w:numFmt w:val="bullet"/>
      <w:pStyle w:val="IPPBullet2"/>
      <w:lvlText w:val=""/>
      <w:lvlJc w:val="left"/>
      <w:pPr>
        <w:ind w:left="927" w:hanging="360"/>
      </w:pPr>
      <w:rPr>
        <w:rFonts w:ascii="Symbol" w:hAnsi="Symbol" w:hint="default"/>
        <w:b w:val="0"/>
        <w:i w:val="0"/>
        <w:color w:val="auto"/>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943ECD"/>
    <w:multiLevelType w:val="multilevel"/>
    <w:tmpl w:val="7E943ECD"/>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038327">
    <w:abstractNumId w:val="7"/>
  </w:num>
  <w:num w:numId="2" w16cid:durableId="227569193">
    <w:abstractNumId w:val="6"/>
  </w:num>
  <w:num w:numId="3" w16cid:durableId="219873367">
    <w:abstractNumId w:val="4"/>
  </w:num>
  <w:num w:numId="4" w16cid:durableId="1523476548">
    <w:abstractNumId w:val="5"/>
  </w:num>
  <w:num w:numId="5" w16cid:durableId="843856680">
    <w:abstractNumId w:val="2"/>
  </w:num>
  <w:num w:numId="6" w16cid:durableId="2138982899">
    <w:abstractNumId w:val="3"/>
  </w:num>
  <w:num w:numId="7" w16cid:durableId="1744141658">
    <w:abstractNumId w:val="8"/>
  </w:num>
  <w:num w:numId="8" w16cid:durableId="762381049">
    <w:abstractNumId w:val="0"/>
  </w:num>
  <w:num w:numId="9" w16cid:durableId="2025090608">
    <w:abstractNumId w:val="1"/>
    <w:lvlOverride w:ilvl="0">
      <w:lvl w:ilvl="0" w:tentative="1">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624EAC"/>
    <w:rsid w:val="000170B8"/>
    <w:rsid w:val="000956F4"/>
    <w:rsid w:val="000A7B47"/>
    <w:rsid w:val="00170219"/>
    <w:rsid w:val="00196521"/>
    <w:rsid w:val="001C0042"/>
    <w:rsid w:val="001C494A"/>
    <w:rsid w:val="001F001B"/>
    <w:rsid w:val="001F0529"/>
    <w:rsid w:val="002900DA"/>
    <w:rsid w:val="002A4328"/>
    <w:rsid w:val="002D4091"/>
    <w:rsid w:val="002E49C9"/>
    <w:rsid w:val="003308C9"/>
    <w:rsid w:val="003627A9"/>
    <w:rsid w:val="003723F9"/>
    <w:rsid w:val="00372E7D"/>
    <w:rsid w:val="003A5CE2"/>
    <w:rsid w:val="003B4A74"/>
    <w:rsid w:val="003D64B0"/>
    <w:rsid w:val="003E41FA"/>
    <w:rsid w:val="003E46D3"/>
    <w:rsid w:val="003F68C5"/>
    <w:rsid w:val="00446035"/>
    <w:rsid w:val="004571B5"/>
    <w:rsid w:val="004948C8"/>
    <w:rsid w:val="004E2EBC"/>
    <w:rsid w:val="00500C09"/>
    <w:rsid w:val="00525ECE"/>
    <w:rsid w:val="00557E95"/>
    <w:rsid w:val="00571C53"/>
    <w:rsid w:val="005B00A6"/>
    <w:rsid w:val="005B48D8"/>
    <w:rsid w:val="005E1F67"/>
    <w:rsid w:val="005E5CF3"/>
    <w:rsid w:val="005E7563"/>
    <w:rsid w:val="005F378B"/>
    <w:rsid w:val="0061469A"/>
    <w:rsid w:val="00617493"/>
    <w:rsid w:val="00624EAC"/>
    <w:rsid w:val="00625A6D"/>
    <w:rsid w:val="0066591F"/>
    <w:rsid w:val="006962C4"/>
    <w:rsid w:val="006B6372"/>
    <w:rsid w:val="006E12E7"/>
    <w:rsid w:val="00723500"/>
    <w:rsid w:val="007B3983"/>
    <w:rsid w:val="007C7758"/>
    <w:rsid w:val="008177A9"/>
    <w:rsid w:val="00844ABF"/>
    <w:rsid w:val="008854C4"/>
    <w:rsid w:val="00892247"/>
    <w:rsid w:val="008A1F46"/>
    <w:rsid w:val="008C1FF1"/>
    <w:rsid w:val="00913F02"/>
    <w:rsid w:val="009349CB"/>
    <w:rsid w:val="00945CAC"/>
    <w:rsid w:val="00966F02"/>
    <w:rsid w:val="00973FC7"/>
    <w:rsid w:val="009801AE"/>
    <w:rsid w:val="00991B46"/>
    <w:rsid w:val="009A1CA1"/>
    <w:rsid w:val="009C7AD0"/>
    <w:rsid w:val="00A36BFE"/>
    <w:rsid w:val="00A440AE"/>
    <w:rsid w:val="00B222DA"/>
    <w:rsid w:val="00B35C60"/>
    <w:rsid w:val="00B64802"/>
    <w:rsid w:val="00B97D00"/>
    <w:rsid w:val="00BC7579"/>
    <w:rsid w:val="00C9196D"/>
    <w:rsid w:val="00CE26F1"/>
    <w:rsid w:val="00CF6A34"/>
    <w:rsid w:val="00D130AB"/>
    <w:rsid w:val="00D4741D"/>
    <w:rsid w:val="00DE69AD"/>
    <w:rsid w:val="00E14ED5"/>
    <w:rsid w:val="00E52489"/>
    <w:rsid w:val="00E75AA1"/>
    <w:rsid w:val="00E83AB0"/>
    <w:rsid w:val="00EA26B5"/>
    <w:rsid w:val="00EA6FF3"/>
    <w:rsid w:val="00EB66BE"/>
    <w:rsid w:val="00EC049F"/>
    <w:rsid w:val="00EE5282"/>
    <w:rsid w:val="00EE5B03"/>
    <w:rsid w:val="00EF71F7"/>
    <w:rsid w:val="00F041D6"/>
    <w:rsid w:val="00F5440F"/>
    <w:rsid w:val="00FB3D8B"/>
    <w:rsid w:val="00FC2413"/>
    <w:rsid w:val="00FD4240"/>
    <w:rsid w:val="23811D23"/>
    <w:rsid w:val="26DC382F"/>
    <w:rsid w:val="7EAB5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106A8"/>
  <w15:docId w15:val="{92182F7C-8899-4658-BC7E-7DBC035B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Times New Roman" w:eastAsia="MS Mincho" w:hAnsi="Times New Roman" w:cs="Times New Roman"/>
      <w:sz w:val="22"/>
      <w:szCs w:val="24"/>
      <w:lang w:val="en-GB" w:eastAsia="en-US"/>
    </w:rPr>
  </w:style>
  <w:style w:type="paragraph" w:styleId="1">
    <w:name w:val="heading 1"/>
    <w:basedOn w:val="a"/>
    <w:next w:val="a"/>
    <w:link w:val="10"/>
    <w:qFormat/>
    <w:pPr>
      <w:keepNext/>
      <w:overflowPunct w:val="0"/>
      <w:autoSpaceDE w:val="0"/>
      <w:autoSpaceDN w:val="0"/>
      <w:adjustRightInd w:val="0"/>
      <w:textAlignment w:val="baseline"/>
      <w:outlineLvl w:val="0"/>
    </w:pPr>
    <w:rPr>
      <w:b/>
      <w:bCs/>
    </w:rPr>
  </w:style>
  <w:style w:type="paragraph" w:styleId="2">
    <w:name w:val="heading 2"/>
    <w:basedOn w:val="a"/>
    <w:next w:val="a"/>
    <w:link w:val="20"/>
    <w:qFormat/>
    <w:pPr>
      <w:keepNext/>
      <w:spacing w:before="240" w:after="60"/>
      <w:outlineLvl w:val="1"/>
    </w:pPr>
    <w:rPr>
      <w:rFonts w:ascii="Calibri" w:hAnsi="Calibri"/>
      <w:b/>
      <w:bCs/>
      <w:i/>
      <w:iCs/>
      <w:sz w:val="28"/>
      <w:szCs w:val="28"/>
    </w:rPr>
  </w:style>
  <w:style w:type="paragraph" w:styleId="3">
    <w:name w:val="heading 3"/>
    <w:basedOn w:val="a"/>
    <w:next w:val="a"/>
    <w:link w:val="30"/>
    <w:qFormat/>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pacing w:after="120"/>
      <w:ind w:left="1320"/>
    </w:pPr>
    <w:rPr>
      <w:rFonts w:eastAsia="Times"/>
      <w:lang w:val="en-AU"/>
    </w:rPr>
  </w:style>
  <w:style w:type="paragraph" w:styleId="a3">
    <w:name w:val="annotation text"/>
    <w:basedOn w:val="a"/>
    <w:link w:val="a4"/>
    <w:uiPriority w:val="99"/>
    <w:semiHidden/>
    <w:unhideWhenUsed/>
    <w:qFormat/>
    <w:rPr>
      <w:sz w:val="20"/>
      <w:szCs w:val="20"/>
    </w:rPr>
  </w:style>
  <w:style w:type="paragraph" w:styleId="TOC5">
    <w:name w:val="toc 5"/>
    <w:basedOn w:val="a"/>
    <w:next w:val="a"/>
    <w:uiPriority w:val="39"/>
    <w:qFormat/>
    <w:pPr>
      <w:spacing w:after="120"/>
      <w:ind w:left="880"/>
    </w:pPr>
    <w:rPr>
      <w:rFonts w:eastAsia="Times"/>
      <w:lang w:val="en-AU"/>
    </w:rPr>
  </w:style>
  <w:style w:type="paragraph" w:styleId="TOC3">
    <w:name w:val="toc 3"/>
    <w:basedOn w:val="TOC2"/>
    <w:next w:val="a"/>
    <w:uiPriority w:val="39"/>
    <w:qFormat/>
    <w:pPr>
      <w:tabs>
        <w:tab w:val="left" w:pos="1276"/>
      </w:tabs>
      <w:spacing w:before="60"/>
      <w:ind w:left="1276" w:hanging="851"/>
    </w:pPr>
    <w:rPr>
      <w:rFonts w:eastAsia="Times"/>
    </w:rPr>
  </w:style>
  <w:style w:type="paragraph" w:styleId="TOC2">
    <w:name w:val="toc 2"/>
    <w:basedOn w:val="TOC1"/>
    <w:next w:val="a"/>
    <w:uiPriority w:val="39"/>
    <w:qFormat/>
    <w:pPr>
      <w:keepNext w:val="0"/>
      <w:tabs>
        <w:tab w:val="left" w:pos="425"/>
      </w:tabs>
      <w:spacing w:before="120" w:after="0"/>
      <w:ind w:left="425" w:right="284" w:hanging="425"/>
    </w:pPr>
  </w:style>
  <w:style w:type="paragraph" w:styleId="TOC1">
    <w:name w:val="toc 1"/>
    <w:basedOn w:val="IPPNormalCloseSpace"/>
    <w:next w:val="a"/>
    <w:uiPriority w:val="39"/>
    <w:qFormat/>
    <w:pPr>
      <w:tabs>
        <w:tab w:val="right" w:leader="dot" w:pos="9072"/>
      </w:tabs>
      <w:spacing w:before="240"/>
      <w:ind w:left="567" w:hanging="567"/>
    </w:pPr>
  </w:style>
  <w:style w:type="paragraph" w:customStyle="1" w:styleId="IPPNormalCloseSpace">
    <w:name w:val="IPP NormalCloseSpace"/>
    <w:basedOn w:val="a"/>
    <w:qFormat/>
    <w:pPr>
      <w:keepNext/>
      <w:spacing w:after="60"/>
    </w:pPr>
  </w:style>
  <w:style w:type="paragraph" w:styleId="a5">
    <w:name w:val="Plain Text"/>
    <w:basedOn w:val="a"/>
    <w:link w:val="a6"/>
    <w:uiPriority w:val="99"/>
    <w:unhideWhenUsed/>
    <w:qFormat/>
    <w:pPr>
      <w:jc w:val="left"/>
    </w:pPr>
    <w:rPr>
      <w:rFonts w:ascii="Courier" w:eastAsia="Times" w:hAnsi="Courier"/>
      <w:sz w:val="21"/>
      <w:szCs w:val="21"/>
      <w:lang w:val="en-AU"/>
    </w:rPr>
  </w:style>
  <w:style w:type="paragraph" w:styleId="TOC8">
    <w:name w:val="toc 8"/>
    <w:basedOn w:val="a"/>
    <w:next w:val="a"/>
    <w:uiPriority w:val="39"/>
    <w:qFormat/>
    <w:pPr>
      <w:spacing w:after="120"/>
      <w:ind w:left="1540"/>
    </w:pPr>
    <w:rPr>
      <w:rFonts w:eastAsia="Times"/>
      <w:lang w:val="en-AU"/>
    </w:rPr>
  </w:style>
  <w:style w:type="paragraph" w:styleId="a7">
    <w:name w:val="Balloon Text"/>
    <w:basedOn w:val="a"/>
    <w:link w:val="a8"/>
    <w:qFormat/>
    <w:rPr>
      <w:rFonts w:ascii="Tahoma" w:hAnsi="Tahoma" w:cs="Tahoma"/>
      <w:sz w:val="16"/>
      <w:szCs w:val="16"/>
    </w:rPr>
  </w:style>
  <w:style w:type="paragraph" w:styleId="a9">
    <w:name w:val="footer"/>
    <w:basedOn w:val="a"/>
    <w:link w:val="aa"/>
    <w:qFormat/>
    <w:pPr>
      <w:tabs>
        <w:tab w:val="center" w:pos="4680"/>
        <w:tab w:val="right" w:pos="9360"/>
      </w:tabs>
    </w:pPr>
  </w:style>
  <w:style w:type="paragraph" w:styleId="ab">
    <w:name w:val="header"/>
    <w:basedOn w:val="a"/>
    <w:link w:val="ac"/>
    <w:qFormat/>
    <w:pPr>
      <w:tabs>
        <w:tab w:val="center" w:pos="4680"/>
        <w:tab w:val="right" w:pos="9360"/>
      </w:tabs>
    </w:pPr>
  </w:style>
  <w:style w:type="paragraph" w:styleId="TOC4">
    <w:name w:val="toc 4"/>
    <w:basedOn w:val="a"/>
    <w:next w:val="a"/>
    <w:uiPriority w:val="39"/>
    <w:qFormat/>
    <w:pPr>
      <w:spacing w:after="120"/>
      <w:ind w:left="660"/>
    </w:pPr>
    <w:rPr>
      <w:rFonts w:eastAsia="Times"/>
      <w:lang w:val="en-AU"/>
    </w:rPr>
  </w:style>
  <w:style w:type="paragraph" w:styleId="ad">
    <w:name w:val="footnote text"/>
    <w:basedOn w:val="a"/>
    <w:link w:val="ae"/>
    <w:semiHidden/>
    <w:qFormat/>
    <w:pPr>
      <w:spacing w:before="60"/>
    </w:pPr>
    <w:rPr>
      <w:sz w:val="20"/>
    </w:rPr>
  </w:style>
  <w:style w:type="paragraph" w:styleId="TOC6">
    <w:name w:val="toc 6"/>
    <w:basedOn w:val="a"/>
    <w:next w:val="a"/>
    <w:uiPriority w:val="39"/>
    <w:qFormat/>
    <w:pPr>
      <w:spacing w:after="120"/>
      <w:ind w:left="1100"/>
    </w:pPr>
    <w:rPr>
      <w:rFonts w:eastAsia="Times"/>
      <w:lang w:val="en-AU"/>
    </w:rPr>
  </w:style>
  <w:style w:type="paragraph" w:styleId="TOC9">
    <w:name w:val="toc 9"/>
    <w:basedOn w:val="a"/>
    <w:next w:val="a"/>
    <w:uiPriority w:val="39"/>
    <w:qFormat/>
    <w:pPr>
      <w:spacing w:after="120"/>
      <w:ind w:left="1760"/>
    </w:pPr>
    <w:rPr>
      <w:rFonts w:eastAsia="Times"/>
      <w:lang w:val="en-AU"/>
    </w:rPr>
  </w:style>
  <w:style w:type="paragraph" w:styleId="af">
    <w:name w:val="annotation subject"/>
    <w:basedOn w:val="a3"/>
    <w:next w:val="a3"/>
    <w:link w:val="af0"/>
    <w:uiPriority w:val="99"/>
    <w:semiHidden/>
    <w:unhideWhenUsed/>
    <w:qFormat/>
    <w:rPr>
      <w:b/>
      <w:bCs/>
    </w:rPr>
  </w:style>
  <w:style w:type="table" w:styleId="af1">
    <w:name w:val="Table Grid"/>
    <w:basedOn w:val="a1"/>
    <w:qFormat/>
    <w:rPr>
      <w:rFonts w:ascii="Cambria" w:eastAsia="MS Mincho" w:hAnsi="Cambria"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page number"/>
    <w:qFormat/>
    <w:rPr>
      <w:rFonts w:ascii="Arial" w:hAnsi="Arial"/>
      <w:b/>
      <w:sz w:val="18"/>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16"/>
      <w:szCs w:val="16"/>
    </w:rPr>
  </w:style>
  <w:style w:type="character" w:styleId="af6">
    <w:name w:val="footnote reference"/>
    <w:basedOn w:val="a0"/>
    <w:semiHidden/>
    <w:qFormat/>
    <w:rPr>
      <w:vertAlign w:val="superscript"/>
    </w:rPr>
  </w:style>
  <w:style w:type="character" w:customStyle="1" w:styleId="ac">
    <w:name w:val="页眉 字符"/>
    <w:basedOn w:val="a0"/>
    <w:link w:val="ab"/>
    <w:qFormat/>
    <w:rPr>
      <w:rFonts w:ascii="Times New Roman" w:eastAsia="MS Mincho" w:hAnsi="Times New Roman" w:cs="Times New Roman"/>
      <w:szCs w:val="24"/>
      <w:lang w:val="en-GB"/>
    </w:rPr>
  </w:style>
  <w:style w:type="character" w:customStyle="1" w:styleId="aa">
    <w:name w:val="页脚 字符"/>
    <w:basedOn w:val="a0"/>
    <w:link w:val="a9"/>
    <w:qFormat/>
    <w:rPr>
      <w:rFonts w:ascii="Times New Roman" w:eastAsia="MS Mincho" w:hAnsi="Times New Roman" w:cs="Times New Roman"/>
      <w:szCs w:val="24"/>
      <w:lang w:val="en-GB"/>
    </w:rPr>
  </w:style>
  <w:style w:type="character" w:customStyle="1" w:styleId="10">
    <w:name w:val="标题 1 字符"/>
    <w:basedOn w:val="a0"/>
    <w:link w:val="1"/>
    <w:qFormat/>
    <w:rPr>
      <w:rFonts w:ascii="Times New Roman" w:eastAsia="MS Mincho" w:hAnsi="Times New Roman" w:cs="Times New Roman"/>
      <w:b/>
      <w:bCs/>
      <w:szCs w:val="24"/>
      <w:lang w:val="en-GB"/>
    </w:rPr>
  </w:style>
  <w:style w:type="character" w:customStyle="1" w:styleId="20">
    <w:name w:val="标题 2 字符"/>
    <w:basedOn w:val="a0"/>
    <w:link w:val="2"/>
    <w:qFormat/>
    <w:rPr>
      <w:rFonts w:ascii="Calibri" w:eastAsia="MS Mincho" w:hAnsi="Calibri" w:cs="Times New Roman"/>
      <w:b/>
      <w:bCs/>
      <w:i/>
      <w:iCs/>
      <w:sz w:val="28"/>
      <w:szCs w:val="28"/>
      <w:lang w:val="en-GB"/>
    </w:rPr>
  </w:style>
  <w:style w:type="character" w:customStyle="1" w:styleId="30">
    <w:name w:val="标题 3 字符"/>
    <w:basedOn w:val="a0"/>
    <w:link w:val="3"/>
    <w:qFormat/>
    <w:rPr>
      <w:rFonts w:ascii="Calibri" w:eastAsia="MS Mincho" w:hAnsi="Calibri" w:cs="Times New Roman"/>
      <w:b/>
      <w:bCs/>
      <w:sz w:val="26"/>
      <w:szCs w:val="26"/>
      <w:lang w:val="en-GB"/>
    </w:rPr>
  </w:style>
  <w:style w:type="character" w:customStyle="1" w:styleId="ae">
    <w:name w:val="脚注文本 字符"/>
    <w:basedOn w:val="a0"/>
    <w:link w:val="ad"/>
    <w:semiHidden/>
    <w:qFormat/>
    <w:rPr>
      <w:rFonts w:ascii="Times New Roman" w:eastAsia="MS Mincho" w:hAnsi="Times New Roman" w:cs="Times New Roman"/>
      <w:sz w:val="20"/>
      <w:szCs w:val="24"/>
      <w:lang w:val="en-GB"/>
    </w:rPr>
  </w:style>
  <w:style w:type="paragraph" w:customStyle="1" w:styleId="Style">
    <w:name w:val="Style"/>
    <w:basedOn w:val="a9"/>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ArialTable">
    <w:name w:val="IPP Arial Table"/>
    <w:basedOn w:val="IPPArial"/>
    <w:qFormat/>
    <w:pPr>
      <w:spacing w:before="60" w:after="60"/>
      <w:jc w:val="left"/>
    </w:pPr>
  </w:style>
  <w:style w:type="paragraph" w:customStyle="1" w:styleId="IPPArial">
    <w:name w:val="IPP Arial"/>
    <w:basedOn w:val="IPPNormal"/>
    <w:qFormat/>
    <w:pPr>
      <w:spacing w:after="0"/>
    </w:pPr>
    <w:rPr>
      <w:rFonts w:ascii="Arial" w:hAnsi="Arial"/>
      <w:sz w:val="18"/>
    </w:rPr>
  </w:style>
  <w:style w:type="paragraph" w:customStyle="1" w:styleId="IPPNormal">
    <w:name w:val="IPP Normal"/>
    <w:basedOn w:val="a"/>
    <w:qFormat/>
    <w:pPr>
      <w:spacing w:after="180"/>
    </w:pPr>
    <w:rPr>
      <w:rFonts w:eastAsia="Times"/>
    </w:rPr>
  </w:style>
  <w:style w:type="paragraph" w:customStyle="1" w:styleId="IPPContentsHead">
    <w:name w:val="IPP ContentsHead"/>
    <w:basedOn w:val="IPPSubhead"/>
    <w:next w:val="IPPNormal"/>
    <w:qFormat/>
    <w:pPr>
      <w:spacing w:after="240"/>
    </w:pPr>
    <w:rPr>
      <w:sz w:val="24"/>
    </w:rPr>
  </w:style>
  <w:style w:type="paragraph" w:customStyle="1" w:styleId="IPPSubhead">
    <w:name w:val="IPP Subhead"/>
    <w:basedOn w:val="a"/>
    <w:qFormat/>
    <w:pPr>
      <w:keepNext/>
      <w:ind w:left="567" w:hanging="567"/>
      <w:jc w:val="left"/>
    </w:pPr>
    <w:rPr>
      <w:b/>
      <w:bCs/>
      <w:iCs/>
      <w:szCs w:val="22"/>
    </w:rPr>
  </w:style>
  <w:style w:type="character" w:customStyle="1" w:styleId="a8">
    <w:name w:val="批注框文本 字符"/>
    <w:basedOn w:val="a0"/>
    <w:link w:val="a7"/>
    <w:qFormat/>
    <w:rPr>
      <w:rFonts w:ascii="Tahoma" w:eastAsia="MS Mincho" w:hAnsi="Tahoma" w:cs="Tahoma"/>
      <w:sz w:val="16"/>
      <w:szCs w:val="16"/>
      <w:lang w:val="en-GB"/>
    </w:rPr>
  </w:style>
  <w:style w:type="paragraph" w:customStyle="1" w:styleId="IPPBullet2">
    <w:name w:val="IPP Bullet2"/>
    <w:basedOn w:val="IPPNormal"/>
    <w:next w:val="IPPBullet1"/>
    <w:qFormat/>
    <w:pPr>
      <w:numPr>
        <w:numId w:val="1"/>
      </w:numPr>
      <w:tabs>
        <w:tab w:val="left" w:pos="1134"/>
      </w:tabs>
      <w:spacing w:after="60"/>
      <w:ind w:left="1134" w:hanging="567"/>
    </w:pPr>
  </w:style>
  <w:style w:type="paragraph" w:customStyle="1" w:styleId="IPPBullet1">
    <w:name w:val="IPP Bullet1"/>
    <w:basedOn w:val="IPPBullet1Last"/>
    <w:qFormat/>
    <w:pPr>
      <w:numPr>
        <w:numId w:val="2"/>
      </w:numPr>
      <w:spacing w:after="60"/>
      <w:ind w:left="567" w:hanging="567"/>
    </w:pPr>
    <w:rPr>
      <w:lang w:val="en-US"/>
    </w:rPr>
  </w:style>
  <w:style w:type="paragraph" w:customStyle="1" w:styleId="IPPBullet1Last">
    <w:name w:val="IPP Bullet1Last"/>
    <w:basedOn w:val="IPPNormal"/>
    <w:next w:val="IPPNormal"/>
    <w:qFormat/>
    <w:pPr>
      <w:numPr>
        <w:numId w:val="3"/>
      </w:numPr>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a0"/>
    <w:qFormat/>
    <w:rPr>
      <w:rFonts w:ascii="Times New Roman" w:hAnsi="Times New Roman"/>
      <w:i/>
      <w:sz w:val="22"/>
      <w:lang w:val="en-US"/>
    </w:rPr>
  </w:style>
  <w:style w:type="character" w:customStyle="1" w:styleId="IPPNormalbold">
    <w:name w:val="IPP Normal bold"/>
    <w:basedOn w:val="a6"/>
    <w:qFormat/>
    <w:rPr>
      <w:rFonts w:ascii="Times New Roman" w:eastAsia="Times" w:hAnsi="Times New Roman" w:cs="Times New Roman"/>
      <w:b/>
      <w:sz w:val="22"/>
      <w:szCs w:val="21"/>
      <w:lang w:val="en-AU"/>
    </w:rPr>
  </w:style>
  <w:style w:type="character" w:customStyle="1" w:styleId="a6">
    <w:name w:val="纯文本 字符"/>
    <w:basedOn w:val="a0"/>
    <w:link w:val="a5"/>
    <w:uiPriority w:val="99"/>
    <w:qFormat/>
    <w:rPr>
      <w:rFonts w:ascii="Courier" w:eastAsia="Times" w:hAnsi="Courier" w:cs="Times New Roman"/>
      <w:sz w:val="21"/>
      <w:szCs w:val="21"/>
      <w:lang w:val="en-AU"/>
    </w:rPr>
  </w:style>
  <w:style w:type="paragraph" w:customStyle="1" w:styleId="IPPHeadSection">
    <w:name w:val="IPP HeadSection"/>
    <w:basedOn w:val="a"/>
    <w:next w:val="a"/>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a0"/>
    <w:qFormat/>
    <w:rPr>
      <w:rFonts w:ascii="Times New Roman" w:hAnsi="Times New Roman"/>
      <w:sz w:val="22"/>
      <w:u w:val="single"/>
      <w:lang w:val="en-US"/>
    </w:rPr>
  </w:style>
  <w:style w:type="character" w:customStyle="1" w:styleId="IPPNormalstrikethrough">
    <w:name w:val="IPP Normal strikethrough"/>
    <w:qFormat/>
    <w:rPr>
      <w:rFonts w:ascii="Times New Roman" w:hAnsi="Times New Roman"/>
      <w:strike/>
      <w:sz w:val="22"/>
    </w:rPr>
  </w:style>
  <w:style w:type="paragraph" w:customStyle="1" w:styleId="IPPTitle16pt">
    <w:name w:val="IPP Title16pt"/>
    <w:basedOn w:val="a"/>
    <w:qFormat/>
    <w:pPr>
      <w:spacing w:after="720"/>
      <w:ind w:left="1701" w:right="1701"/>
      <w:jc w:val="center"/>
    </w:pPr>
    <w:rPr>
      <w:rFonts w:ascii="Arial" w:hAnsi="Arial" w:cs="Arial"/>
      <w:b/>
      <w:bCs/>
      <w:sz w:val="32"/>
      <w:szCs w:val="32"/>
    </w:rPr>
  </w:style>
  <w:style w:type="paragraph" w:customStyle="1" w:styleId="IPPTitle18pt">
    <w:name w:val="IPP Title18pt"/>
    <w:basedOn w:val="a"/>
    <w:qFormat/>
    <w:pPr>
      <w:spacing w:after="360"/>
      <w:jc w:val="center"/>
    </w:pPr>
    <w:rPr>
      <w:rFonts w:ascii="Arial" w:hAnsi="Arial" w:cs="Arial"/>
      <w:b/>
      <w:bCs/>
      <w:sz w:val="36"/>
      <w:szCs w:val="36"/>
    </w:rPr>
  </w:style>
  <w:style w:type="paragraph" w:customStyle="1" w:styleId="IPPHeader">
    <w:name w:val="IPP Header"/>
    <w:basedOn w:val="a"/>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5"/>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4"/>
      </w:numPr>
      <w:jc w:val="left"/>
    </w:pPr>
  </w:style>
  <w:style w:type="paragraph" w:customStyle="1" w:styleId="IPPLetterListIndent">
    <w:name w:val="IPP LetterList Indent"/>
    <w:basedOn w:val="IPPLetterList"/>
    <w:qFormat/>
    <w:pPr>
      <w:numPr>
        <w:numId w:val="5"/>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8"/>
      </w:numPr>
    </w:pPr>
  </w:style>
  <w:style w:type="paragraph" w:styleId="af7">
    <w:name w:val="List Paragraph"/>
    <w:basedOn w:val="a"/>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9"/>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a4">
    <w:name w:val="批注文字 字符"/>
    <w:basedOn w:val="a0"/>
    <w:link w:val="a3"/>
    <w:uiPriority w:val="99"/>
    <w:semiHidden/>
    <w:qFormat/>
    <w:rPr>
      <w:rFonts w:ascii="Times New Roman" w:eastAsia="MS Mincho" w:hAnsi="Times New Roman" w:cs="Times New Roman"/>
      <w:sz w:val="20"/>
      <w:szCs w:val="20"/>
      <w:lang w:val="en-GB"/>
    </w:rPr>
  </w:style>
  <w:style w:type="character" w:customStyle="1" w:styleId="af0">
    <w:name w:val="批注主题 字符"/>
    <w:basedOn w:val="a4"/>
    <w:link w:val="af"/>
    <w:uiPriority w:val="99"/>
    <w:semiHidden/>
    <w:qFormat/>
    <w:rPr>
      <w:rFonts w:ascii="Times New Roman" w:eastAsia="MS Mincho" w:hAnsi="Times New Roman" w:cs="Times New Roman"/>
      <w:b/>
      <w:bCs/>
      <w:sz w:val="20"/>
      <w:szCs w:val="20"/>
      <w:lang w:val="en-GB"/>
    </w:rPr>
  </w:style>
  <w:style w:type="paragraph" w:customStyle="1" w:styleId="MDPI41tablecaption">
    <w:name w:val="MDPI_4.1_table_caption"/>
    <w:qFormat/>
    <w:pPr>
      <w:adjustRightInd w:val="0"/>
      <w:snapToGrid w:val="0"/>
      <w:spacing w:before="240" w:after="120" w:line="228" w:lineRule="auto"/>
      <w:ind w:left="2608"/>
    </w:pPr>
    <w:rPr>
      <w:rFonts w:ascii="Palatino Linotype" w:eastAsia="Times New Roman" w:hAnsi="Palatino Linotype" w:cs="Cordia New"/>
      <w:color w:val="000000"/>
      <w:sz w:val="18"/>
      <w:szCs w:val="22"/>
      <w:lang w:eastAsia="de-DE" w:bidi="en-US"/>
    </w:rPr>
  </w:style>
  <w:style w:type="paragraph" w:customStyle="1" w:styleId="MDPI43tablefooter">
    <w:name w:val="MDPI_4.3_table_footer"/>
    <w:next w:val="MDPI31text"/>
    <w:qFormat/>
    <w:pPr>
      <w:adjustRightInd w:val="0"/>
      <w:snapToGrid w:val="0"/>
      <w:spacing w:line="228" w:lineRule="auto"/>
      <w:ind w:left="2608"/>
    </w:pPr>
    <w:rPr>
      <w:rFonts w:ascii="Palatino Linotype" w:eastAsia="Times New Roman" w:hAnsi="Palatino Linotype" w:cs="Cordia New"/>
      <w:color w:val="000000"/>
      <w:sz w:val="18"/>
      <w:szCs w:val="22"/>
      <w:lang w:eastAsia="de-DE" w:bidi="en-US"/>
    </w:rPr>
  </w:style>
  <w:style w:type="paragraph" w:customStyle="1" w:styleId="MDPI31text">
    <w:name w:val="MDPI_3.1_text"/>
    <w:qFormat/>
    <w:pPr>
      <w:adjustRightInd w:val="0"/>
      <w:snapToGrid w:val="0"/>
      <w:spacing w:line="228" w:lineRule="auto"/>
      <w:ind w:left="2608" w:firstLine="425"/>
      <w:jc w:val="both"/>
    </w:pPr>
    <w:rPr>
      <w:rFonts w:ascii="Palatino Linotype" w:eastAsia="Times New Roman" w:hAnsi="Palatino Linotype" w:cs="Times New Roman"/>
      <w:snapToGrid w:val="0"/>
      <w:color w:val="000000"/>
      <w:szCs w:val="22"/>
      <w:lang w:eastAsia="de-DE" w:bidi="en-US"/>
    </w:r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image" Target="media/image1.png"/><Relationship Id="rId18" Type="http://schemas.openxmlformats.org/officeDocument/2006/relationships/oleObject" Target="embeddings/Microsoft_Word_97_-_2003_Document1.doc"/><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header" Target="header1.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customXml" Target="../customXml/item2.xml"/><Relationship Id="rId10" Type="http://schemas.openxmlformats.org/officeDocument/2006/relationships/hyperlink" Target="mailto:ippc@fao.org" TargetMode="External"/><Relationship Id="rId19"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A7053-33AF-476D-B6AF-E08CAEC3F8CE}">
  <ds:schemaRefs>
    <ds:schemaRef ds:uri="http://schemas.openxmlformats.org/officeDocument/2006/bibliography"/>
  </ds:schemaRefs>
</ds:datastoreItem>
</file>

<file path=customXml/itemProps2.xml><?xml version="1.0" encoding="utf-8"?>
<ds:datastoreItem xmlns:ds="http://schemas.openxmlformats.org/officeDocument/2006/customXml" ds:itemID="{6BF090B1-AAEC-41C4-B429-BA679391CA1A}"/>
</file>

<file path=customXml/itemProps3.xml><?xml version="1.0" encoding="utf-8"?>
<ds:datastoreItem xmlns:ds="http://schemas.openxmlformats.org/officeDocument/2006/customXml" ds:itemID="{60E48E58-BF32-44DC-943D-B744574BBAC5}"/>
</file>

<file path=docProps/app.xml><?xml version="1.0" encoding="utf-8"?>
<Properties xmlns="http://schemas.openxmlformats.org/officeDocument/2006/extended-properties" xmlns:vt="http://schemas.openxmlformats.org/officeDocument/2006/docPropsVTypes">
  <Template>IPPC_2015-06-04</Template>
  <TotalTime>30</TotalTime>
  <Pages>9</Pages>
  <Words>4010</Words>
  <Characters>22857</Characters>
  <Application>Microsoft Office Word</Application>
  <DocSecurity>0</DocSecurity>
  <Lines>190</Lines>
  <Paragraphs>53</Paragraphs>
  <ScaleCrop>false</ScaleCrop>
  <Company>FAO of the UN</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Zhan Guoping</cp:lastModifiedBy>
  <cp:revision>5</cp:revision>
  <dcterms:created xsi:type="dcterms:W3CDTF">2023-06-12T07:17:00Z</dcterms:created>
  <dcterms:modified xsi:type="dcterms:W3CDTF">2023-08-14T04:16:00Z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C6408394D85E4C05927B4376F065E2A7_13</vt:lpwstr>
  </property>
</Properties>
</file>